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rFonts w:hint="eastAsia" w:eastAsia="宋体"/>
          <w:sz w:val="30"/>
          <w:lang w:eastAsia="zh-CN"/>
        </w:rPr>
        <w:drawing>
          <wp:inline distT="0" distB="0" distL="114300" distR="114300">
            <wp:extent cx="2901315" cy="2901315"/>
            <wp:effectExtent l="0" t="0" r="0" b="0"/>
            <wp:docPr id="11" name="图片 11"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主图"/>
                    <pic:cNvPicPr>
                      <a:picLocks noChangeAspect="1"/>
                    </pic:cNvPicPr>
                  </pic:nvPicPr>
                  <pic:blipFill>
                    <a:blip r:embed="rId6"/>
                    <a:stretch>
                      <a:fillRect/>
                    </a:stretch>
                  </pic:blipFill>
                  <pic:spPr>
                    <a:xfrm>
                      <a:off x="0" y="0"/>
                      <a:ext cx="2901315" cy="2901315"/>
                    </a:xfrm>
                    <a:prstGeom prst="rect">
                      <a:avLst/>
                    </a:prstGeom>
                  </pic:spPr>
                </pic:pic>
              </a:graphicData>
            </a:graphic>
          </wp:inline>
        </w:drawing>
      </w:r>
    </w:p>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2336" behindDoc="0" locked="0" layoutInCell="1" allowOverlap="1">
                <wp:simplePos x="0" y="0"/>
                <wp:positionH relativeFrom="column">
                  <wp:posOffset>1604010</wp:posOffset>
                </wp:positionH>
                <wp:positionV relativeFrom="paragraph">
                  <wp:posOffset>1270</wp:posOffset>
                </wp:positionV>
                <wp:extent cx="1828800" cy="1828800"/>
                <wp:effectExtent l="0" t="0" r="0" b="127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30</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00DRH电动升降乳</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6.3pt;margin-top:0.1pt;height:144pt;width:144pt;mso-wrap-distance-bottom:0pt;mso-wrap-distance-top:0pt;mso-wrap-style:none;z-index:251662336;mso-width-relative:page;mso-height-relative:page;" filled="f" stroked="f" coordsize="21600,21600" o:gfxdata="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Zc0w9YAAAAIAQAADwAAAAAAAAABACAAAAAiAAAAZHJzL2Rvd25yZXYu&#10;eG1sUEsBAhQAFAAAAAgAh07iQCJ9L7Y2AgAAZQQAAA4AAAAAAAAAAQAgAAAAJQEAAGRycy9lMm9E&#10;b2MueG1sUEsFBgAAAAAGAAYAWQEAAM0FAAAAAA==&#10;">
                <v:fill on="f" focussize="0,0"/>
                <v:stroke on="f" weight="0.5pt"/>
                <v:imagedata o:title=""/>
                <o:lock v:ext="edit" aspectratio="f"/>
                <v:textbox style="mso-fit-shape-to-text:t;">
                  <w:txbxContent>
                    <w:p>
                      <w:pPr>
                        <w:tabs>
                          <w:tab w:val="left" w:pos="7161"/>
                        </w:tabs>
                        <w:jc w:val="righ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HR-</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30</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00DRH电动升降乳</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化</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机</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-29845</wp:posOffset>
                </wp:positionH>
                <wp:positionV relativeFrom="paragraph">
                  <wp:posOffset>838200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66pt;height:0.3pt;width:415.15pt;z-index:-251655168;mso-width-relative:page;mso-height-relative:page;" filled="f" stroked="t" coordsize="21600,21600" o:gfxdata="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lqzSHXAAAACg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line="360" w:lineRule="auto"/>
        <w:ind w:left="1" w:firstLine="420"/>
        <w:rPr>
          <w:rFonts w:ascii="宋体" w:hAnsi="宋体" w:cs="宋体"/>
          <w:color w:val="2F5597" w:themeColor="accent1" w:themeShade="BF"/>
          <w:sz w:val="24"/>
          <w:szCs w:val="24"/>
        </w:rPr>
      </w:pPr>
      <w:r>
        <w:rPr>
          <w:rFonts w:ascii="宋体" w:hAnsi="宋体" w:cs="宋体"/>
          <w:color w:val="2F5597" w:themeColor="accent1" w:themeShade="BF"/>
          <w:sz w:val="24"/>
          <w:szCs w:val="24"/>
        </w:rPr>
        <w:t>实验室电动升降乳化机是为实验室小型实验而设计的一款实验室设备。通过机械外力作用的方法使液-液、固-液物料颗粒粒径变窄，使一种相均匀分布到另一种或多种相中，达到细化均质、分散乳化效果，从而形成稳定的液-液、固-液分散体系的状态，可配定制多种不同规格工作头的产品。强劲的马达进行高速旋转使转、定子之间形成真空，物料从转、定子上部和底部吸入。大动能使转子产生极高的线速度，使物料在转、定子间隙之间经过强烈的撞击、破碎、离心挤、液层摩擦、强力剪切之后飞射出去，在多种不同方向力的作用下，产生强大紊流。物料在适量乳化剂和成熟工艺下经过一定时间反复循环解聚、分散均质、细化、剪切产生稳定乳状液。应用领域：适用于生物、医药、食品、涂料、油墨、纺织助剂、化妆品、润滑油、农药等行业产品物料的分散、乳化、均质</w:t>
      </w:r>
    </w:p>
    <w:p>
      <w:pPr>
        <w:adjustRightInd w:val="0"/>
        <w:spacing w:line="360" w:lineRule="auto"/>
        <w:ind w:firstLine="480" w:firstLineChars="20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 </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spacing w:line="360" w:lineRule="auto"/>
        <w:ind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效率高，能快速的将一种相均匀物料分布到另一种或多种物料中，达到细化均质、分散乳化效果，最终产品稳定，不易分层。</w:t>
      </w:r>
    </w:p>
    <w:p>
      <w:pPr>
        <w:spacing w:line="360" w:lineRule="auto"/>
        <w:ind w:left="1" w:right="4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加工精度高、寿命长，转定子采用锻件材料、CNC数控加工中心加工，转定子间隙小，剪切细度好，乳化分散效率高，选配冷却双层料筒，设备可长时间运行升温低，并可以根据工艺定时乳化时长自动停机设置。</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方式多样</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设备结构紧凑，电动升降设备大气美观，省力，免安装，根据物料粘度，选择匹配合适的单层/双层料桶，可满足不同工况使用。</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非标性强</w:t>
      </w:r>
      <w:r>
        <w:rPr>
          <w:rFonts w:hint="eastAsia" w:ascii="宋体" w:hAnsi="宋体" w:cs="宋体"/>
          <w:color w:val="2F5597" w:themeColor="accent1" w:themeShade="BF"/>
          <w:sz w:val="24"/>
          <w:szCs w:val="24"/>
        </w:rPr>
        <w:t>，</w:t>
      </w:r>
      <w:r>
        <w:rPr>
          <w:rFonts w:ascii="宋体" w:hAnsi="宋体" w:cs="宋体"/>
          <w:color w:val="2F5597" w:themeColor="accent1" w:themeShade="BF"/>
          <w:sz w:val="24"/>
          <w:szCs w:val="24"/>
        </w:rPr>
        <w:t>可定制各类型非标产品，如防爆型，密闭型，手动升降型等，材质可根据要求定制 SS304/SS316L/哈氏合金/钛钼镍合金等材料。同时可定制根据物料粘度定制不同乳化头，满足实验室或小批量多种需求。</w:t>
      </w:r>
    </w:p>
    <w:p>
      <w:pPr>
        <w:widowControl/>
        <w:tabs>
          <w:tab w:val="left" w:pos="421"/>
        </w:tabs>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w:t>
      </w:r>
      <w:r>
        <w:rPr>
          <w:rFonts w:hint="eastAsia" w:ascii="宋体" w:hAnsi="宋体" w:cs="宋体"/>
          <w:color w:val="2F5597" w:themeColor="accent1" w:themeShade="BF"/>
          <w:sz w:val="24"/>
          <w:szCs w:val="24"/>
          <w:lang w:val="en-US" w:eastAsia="zh-CN"/>
        </w:rPr>
        <w:t>304不锈钢</w:t>
      </w:r>
      <w:r>
        <w:rPr>
          <w:rFonts w:hint="eastAsia" w:ascii="宋体" w:hAnsi="宋体" w:cs="宋体"/>
          <w:color w:val="2F5597" w:themeColor="accent1" w:themeShade="BF"/>
          <w:sz w:val="24"/>
          <w:szCs w:val="24"/>
        </w:rPr>
        <w:t>外壳，</w:t>
      </w:r>
      <w:r>
        <w:rPr>
          <w:rFonts w:ascii="宋体" w:hAnsi="宋体" w:cs="宋体"/>
          <w:color w:val="2F5597" w:themeColor="accent1" w:themeShade="BF"/>
          <w:sz w:val="24"/>
          <w:szCs w:val="24"/>
        </w:rPr>
        <w:t>固定底座。</w:t>
      </w:r>
    </w:p>
    <w:p>
      <w:pPr>
        <w:widowControl/>
        <w:shd w:val="clear" w:color="auto" w:fill="FFFFFF"/>
        <w:spacing w:line="360" w:lineRule="auto"/>
        <w:jc w:val="left"/>
        <w:rPr>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3360"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3120;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SokrWAAAACAEAAA8AAAAAAAAAAQAgAAAAIgAAAGRycy9kb3ducmV2LnhtbFBLAQIU&#10;ABQAAAAIAIdO4kCvSu659QEAAMEDAAAOAAAAAAAAAAEAIAAAACUBAABkcnMvZTJvRG9jLnhtbFBL&#10;BQYAAAAABgAGAFkBAACM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3、适用范围</w:t>
      </w:r>
    </w:p>
    <w:p>
      <w:pPr>
        <w:widowControl/>
        <w:shd w:val="clear" w:color="auto" w:fill="FFFFFF"/>
        <w:spacing w:line="360" w:lineRule="auto"/>
        <w:jc w:val="left"/>
        <w:rPr>
          <w:rFonts w:ascii="宋体" w:hAnsi="宋体" w:cs="宋体"/>
          <w:color w:val="2F5597" w:themeColor="accent1" w:themeShade="BF"/>
          <w:sz w:val="24"/>
          <w:szCs w:val="24"/>
        </w:rPr>
      </w:pPr>
      <w:r>
        <w:rPr>
          <w:rFonts w:ascii="宋体" w:hAnsi="宋体" w:cs="宋体"/>
          <w:color w:val="2F5597" w:themeColor="accent1" w:themeShade="BF"/>
          <w:sz w:val="24"/>
          <w:szCs w:val="24"/>
        </w:rPr>
        <w:t>固体与液体，液体与液体混合形成溶液、胶体、悬浊液或乳浊液的过程皆可使用；如汤料、乳制品、组织匀浆、化妆品、表面活性剂、沥青、乳化剂、油田化学品等千余种物料。</w:t>
      </w:r>
    </w:p>
    <w:p>
      <w:pPr>
        <w:widowControl/>
        <w:shd w:val="clear" w:color="auto" w:fill="FFFFFF"/>
        <w:spacing w:line="360" w:lineRule="auto"/>
        <w:jc w:val="left"/>
        <w:rPr>
          <w:rFonts w:ascii="宋体" w:hAnsi="宋体" w:cs="宋体"/>
          <w:color w:val="2F5597" w:themeColor="accent1" w:themeShade="BF"/>
          <w:sz w:val="24"/>
          <w:szCs w:val="24"/>
        </w:rPr>
      </w:pP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HR-</w:t>
            </w:r>
            <w:r>
              <w:rPr>
                <w:rStyle w:val="15"/>
                <w:rFonts w:hint="eastAsia" w:ascii="宋体" w:hAnsi="宋体"/>
                <w:b w:val="0"/>
                <w:color w:val="2F5597" w:themeColor="accent1" w:themeShade="BF"/>
                <w:sz w:val="24"/>
                <w:szCs w:val="24"/>
                <w:shd w:val="clear" w:color="auto" w:fill="FFFFFF"/>
                <w:lang w:val="en-US" w:eastAsia="zh-CN" w:bidi="ar"/>
              </w:rPr>
              <w:t>30</w:t>
            </w:r>
            <w:r>
              <w:rPr>
                <w:rStyle w:val="15"/>
                <w:rFonts w:hint="eastAsia" w:ascii="宋体" w:hAnsi="宋体"/>
                <w:b w:val="0"/>
                <w:color w:val="2F5597" w:themeColor="accent1" w:themeShade="BF"/>
                <w:sz w:val="24"/>
                <w:szCs w:val="24"/>
                <w:shd w:val="clear" w:color="auto" w:fill="FFFFFF"/>
                <w:lang w:bidi="ar"/>
              </w:rPr>
              <w:t>00DRH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1030022001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电机类型</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三相异步电机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功率</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val="en-US" w:eastAsia="zh-CN" w:bidi="ar"/>
              </w:rPr>
              <w:t>30</w:t>
            </w:r>
            <w:r>
              <w:rPr>
                <w:rStyle w:val="15"/>
                <w:rFonts w:hint="eastAsia" w:ascii="宋体" w:hAnsi="宋体"/>
                <w:b w:val="0"/>
                <w:color w:val="2F5597" w:themeColor="accent1" w:themeShade="BF"/>
                <w:sz w:val="24"/>
                <w:szCs w:val="24"/>
                <w:shd w:val="clear" w:color="auto" w:fill="FFFFFF"/>
                <w:lang w:bidi="ar"/>
              </w:rPr>
              <w:t>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ascii="宋体" w:hAnsi="宋体" w:cs="宋体"/>
                <w:b w:val="0"/>
                <w:bCs w:val="0"/>
                <w:color w:val="2F5597" w:themeColor="accent1" w:themeShade="BF"/>
                <w:kern w:val="0"/>
                <w:sz w:val="24"/>
                <w:szCs w:val="24"/>
                <w:shd w:val="clear" w:color="auto" w:fill="FFFFFF"/>
                <w:lang w:bidi="ar"/>
              </w:rPr>
              <w:t>建议处理量</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val="en-US" w:eastAsia="zh-CN" w:bidi="ar"/>
              </w:rPr>
              <w:t>18</w:t>
            </w:r>
            <w:r>
              <w:rPr>
                <w:rStyle w:val="15"/>
                <w:rFonts w:hint="eastAsia" w:ascii="宋体" w:hAnsi="宋体"/>
                <w:b w:val="0"/>
                <w:color w:val="2F5597" w:themeColor="accent1" w:themeShade="BF"/>
                <w:sz w:val="24"/>
                <w:szCs w:val="24"/>
                <w:shd w:val="clear" w:color="auto" w:fill="FFFFFF"/>
                <w:lang w:bidi="ar"/>
              </w:rPr>
              <w:t>0L（以水为标准）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w:t>
            </w:r>
            <w:r>
              <w:rPr>
                <w:rStyle w:val="15"/>
                <w:rFonts w:ascii="宋体" w:hAnsi="宋体" w:cs="宋体"/>
                <w:b w:val="0"/>
                <w:bCs w:val="0"/>
                <w:color w:val="2F5597" w:themeColor="accent1" w:themeShade="BF"/>
                <w:kern w:val="0"/>
                <w:sz w:val="24"/>
                <w:szCs w:val="24"/>
                <w:shd w:val="clear" w:color="auto" w:fill="FFFFFF"/>
                <w:lang w:bidi="ar"/>
              </w:rPr>
              <w:t>速</w:t>
            </w:r>
            <w:r>
              <w:rPr>
                <w:rStyle w:val="15"/>
                <w:rFonts w:hint="eastAsia" w:ascii="宋体" w:hAnsi="宋体" w:cs="宋体"/>
                <w:b w:val="0"/>
                <w:bCs w:val="0"/>
                <w:color w:val="2F5597" w:themeColor="accent1" w:themeShade="BF"/>
                <w:kern w:val="0"/>
                <w:sz w:val="24"/>
                <w:szCs w:val="24"/>
                <w:shd w:val="clear" w:color="auto" w:fill="FFFFFF"/>
                <w:lang w:bidi="ar"/>
              </w:rPr>
              <w:t>2P</w:t>
            </w:r>
          </w:p>
        </w:tc>
        <w:tc>
          <w:tcPr>
            <w:tcW w:w="4261" w:type="dxa"/>
            <w:tcBorders>
              <w:tl2br w:val="nil"/>
              <w:tr2bl w:val="nil"/>
            </w:tcBorders>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0-</w:t>
            </w:r>
            <w:r>
              <w:rPr>
                <w:rStyle w:val="15"/>
                <w:rFonts w:hint="eastAsia" w:ascii="宋体" w:hAnsi="宋体"/>
                <w:b w:val="0"/>
                <w:color w:val="2F5597" w:themeColor="accent1" w:themeShade="BF"/>
                <w:sz w:val="24"/>
                <w:szCs w:val="24"/>
                <w:shd w:val="clear" w:color="auto" w:fill="FFFFFF"/>
                <w:lang w:val="en-US" w:eastAsia="zh-CN" w:bidi="ar"/>
              </w:rPr>
              <w:t>30</w:t>
            </w:r>
            <w:r>
              <w:rPr>
                <w:rStyle w:val="15"/>
                <w:rFonts w:hint="eastAsia" w:ascii="宋体" w:hAnsi="宋体"/>
                <w:b w:val="0"/>
                <w:color w:val="2F5597" w:themeColor="accent1" w:themeShade="BF"/>
                <w:sz w:val="24"/>
                <w:szCs w:val="24"/>
                <w:shd w:val="clear" w:color="auto" w:fill="FFFFFF"/>
                <w:lang w:bidi="ar"/>
              </w:rPr>
              <w:t>00r/min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转定子形式</w:t>
            </w:r>
          </w:p>
        </w:tc>
        <w:tc>
          <w:tcPr>
            <w:tcW w:w="4261" w:type="dxa"/>
            <w:tcBorders>
              <w:tl2br w:val="nil"/>
              <w:tr2bl w:val="nil"/>
            </w:tcBorders>
            <w:vAlign w:val="center"/>
          </w:tcPr>
          <w:p>
            <w:pPr>
              <w:widowControl/>
              <w:shd w:val="clear" w:color="auto" w:fill="FFFFFF"/>
              <w:jc w:val="center"/>
              <w:textAlignment w:val="center"/>
              <w:rPr>
                <w:rStyle w:val="15"/>
                <w:rFonts w:ascii="宋体" w:hAnsi="宋体"/>
                <w:b w:val="0"/>
                <w:color w:val="2F5597" w:themeColor="accent1" w:themeShade="BF"/>
                <w:sz w:val="24"/>
                <w:szCs w:val="24"/>
                <w:shd w:val="clear" w:color="auto" w:fill="FFFFFF"/>
                <w:lang w:bidi="ar"/>
              </w:rPr>
            </w:pPr>
            <w:r>
              <w:rPr>
                <w:rStyle w:val="15"/>
                <w:rFonts w:hint="eastAsia" w:ascii="宋体" w:hAnsi="宋体"/>
                <w:b w:val="0"/>
                <w:color w:val="2F5597" w:themeColor="accent1" w:themeShade="BF"/>
                <w:sz w:val="24"/>
                <w:szCs w:val="24"/>
                <w:shd w:val="clear" w:color="auto" w:fill="FFFFFF"/>
                <w:lang w:bidi="ar"/>
              </w:rPr>
              <w:t>长孔型</w:t>
            </w:r>
            <w:r>
              <w:rPr>
                <w:rStyle w:val="15"/>
                <w:rFonts w:hint="eastAsia" w:ascii="宋体" w:hAnsi="宋体"/>
                <w:b w:val="0"/>
                <w:color w:val="2F5597" w:themeColor="accent1" w:themeShade="BF"/>
                <w:sz w:val="24"/>
                <w:szCs w:val="24"/>
                <w:shd w:val="clear" w:color="auto" w:fill="FFFFFF"/>
                <w:lang w:eastAsia="zh-CN" w:bidi="ar"/>
              </w:rPr>
              <w:t>（标配）</w:t>
            </w:r>
            <w:r>
              <w:rPr>
                <w:rStyle w:val="15"/>
                <w:rFonts w:hint="eastAsia" w:ascii="宋体" w:hAnsi="宋体"/>
                <w:b w:val="0"/>
                <w:color w:val="2F5597" w:themeColor="accent1" w:themeShade="BF"/>
                <w:sz w:val="24"/>
                <w:szCs w:val="24"/>
                <w:shd w:val="clear" w:color="auto" w:fill="FFFFFF"/>
                <w:lang w:bidi="ar"/>
              </w:rPr>
              <w:t>/圆孔型/爪式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定子尺寸</w:t>
            </w:r>
          </w:p>
        </w:tc>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b w:val="0"/>
                <w:color w:val="2F5597" w:themeColor="accent1" w:themeShade="BF"/>
                <w:sz w:val="24"/>
                <w:szCs w:val="24"/>
                <w:shd w:val="clear" w:color="auto" w:fill="FFFFFF"/>
                <w:lang w:val="en-US" w:eastAsia="zh-CN" w:bidi="ar"/>
              </w:rPr>
            </w:pPr>
            <w:r>
              <w:rPr>
                <w:rStyle w:val="15"/>
                <w:rFonts w:hint="eastAsia" w:ascii="宋体" w:hAnsi="宋体"/>
                <w:b w:val="0"/>
                <w:color w:val="2F5597" w:themeColor="accent1" w:themeShade="BF"/>
                <w:sz w:val="24"/>
                <w:szCs w:val="24"/>
                <w:shd w:val="clear" w:color="auto" w:fill="FFFFFF"/>
                <w:lang w:val="en-US" w:eastAsia="zh-CN" w:bidi="ar"/>
              </w:rPr>
              <w:t>9cm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升降方式</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电动升降</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升降行程</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6</w:t>
            </w:r>
            <w:r>
              <w:rPr>
                <w:rStyle w:val="15"/>
                <w:rFonts w:hint="eastAsia" w:ascii="宋体" w:hAnsi="宋体" w:cs="宋体"/>
                <w:b w:val="0"/>
                <w:bCs w:val="0"/>
                <w:color w:val="2F5597" w:themeColor="accent1" w:themeShade="BF"/>
                <w:kern w:val="0"/>
                <w:sz w:val="24"/>
                <w:szCs w:val="24"/>
                <w:shd w:val="clear" w:color="auto" w:fill="FFFFFF"/>
                <w:lang w:bidi="ar"/>
              </w:rPr>
              <w:t>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电压</w:t>
            </w:r>
          </w:p>
        </w:tc>
        <w:tc>
          <w:tcPr>
            <w:tcW w:w="4261" w:type="dxa"/>
            <w:tcBorders>
              <w:tl2br w:val="nil"/>
              <w:tr2bl w:val="nil"/>
            </w:tcBorders>
            <w:vAlign w:val="center"/>
          </w:tcPr>
          <w:p>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220V/380V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69"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底部长宽尺寸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495*550</w:t>
            </w:r>
            <w:r>
              <w:rPr>
                <w:rStyle w:val="15"/>
                <w:rFonts w:hint="eastAsia" w:ascii="宋体" w:hAnsi="宋体" w:cs="宋体"/>
                <w:b w:val="0"/>
                <w:bCs w:val="0"/>
                <w:color w:val="2F5597" w:themeColor="accent1" w:themeShade="BF"/>
                <w:kern w:val="0"/>
                <w:sz w:val="24"/>
                <w:szCs w:val="24"/>
                <w:shd w:val="clear" w:color="auto" w:fill="FFFFFF"/>
                <w:lang w:bidi="ar"/>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69"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乳化机头长</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80</w:t>
            </w:r>
            <w:r>
              <w:rPr>
                <w:rStyle w:val="15"/>
                <w:rFonts w:hint="eastAsia" w:ascii="宋体" w:hAnsi="宋体" w:cs="宋体"/>
                <w:b w:val="0"/>
                <w:bCs w:val="0"/>
                <w:color w:val="2F5597" w:themeColor="accent1" w:themeShade="BF"/>
                <w:kern w:val="0"/>
                <w:sz w:val="24"/>
                <w:szCs w:val="24"/>
                <w:shd w:val="clear" w:color="auto" w:fill="FFFFFF"/>
                <w:lang w:bidi="ar"/>
              </w:rPr>
              <w:t>0</w:t>
            </w:r>
            <w:r>
              <w:rPr>
                <w:rStyle w:val="15"/>
                <w:rFonts w:hint="eastAsia" w:ascii="宋体" w:hAnsi="宋体" w:cs="宋体"/>
                <w:b w:val="0"/>
                <w:bCs w:val="0"/>
                <w:color w:val="2F5597" w:themeColor="accent1" w:themeShade="BF"/>
                <w:kern w:val="0"/>
                <w:sz w:val="24"/>
                <w:szCs w:val="24"/>
                <w:shd w:val="clear" w:color="auto" w:fill="FFFFFF"/>
                <w:lang w:val="en-US" w:eastAsia="zh-CN" w:bidi="ar"/>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69" w:hRule="exact"/>
        </w:trPr>
        <w:tc>
          <w:tcPr>
            <w:tcW w:w="4261" w:type="dxa"/>
            <w:tcBorders>
              <w:tl2br w:val="nil"/>
              <w:tr2bl w:val="nil"/>
            </w:tcBorders>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离地尺寸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50-650mm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69" w:hRule="exact"/>
        </w:trPr>
        <w:tc>
          <w:tcPr>
            <w:tcW w:w="4261" w:type="dxa"/>
            <w:tcBorders>
              <w:tl2br w:val="nil"/>
              <w:tr2bl w:val="nil"/>
            </w:tcBorders>
            <w:vAlign w:val="center"/>
          </w:tcPr>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外形尺寸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850*620*12</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cs="宋体"/>
                <w:b w:val="0"/>
                <w:bCs w:val="0"/>
                <w:color w:val="2F5597" w:themeColor="accent1" w:themeShade="BF"/>
                <w:kern w:val="0"/>
                <w:sz w:val="24"/>
                <w:szCs w:val="24"/>
                <w:shd w:val="clear" w:color="auto" w:fill="FFFFFF"/>
                <w:lang w:bidi="ar"/>
              </w:rPr>
              <w:t>0mm</w:t>
            </w:r>
          </w:p>
          <w:p>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69" w:hRule="exact"/>
        </w:trPr>
        <w:tc>
          <w:tcPr>
            <w:tcW w:w="4261"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870*840*1230mm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69" w:hRule="exact"/>
        </w:trPr>
        <w:tc>
          <w:tcPr>
            <w:tcW w:w="4261" w:type="dxa"/>
            <w:tcBorders>
              <w:tl2br w:val="nil"/>
              <w:tr2bl w:val="nil"/>
            </w:tcBorders>
            <w:vAlign w:val="center"/>
          </w:tcPr>
          <w:p>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150kg</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4、转定子分类</w:t>
      </w: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长孔型定子头：适用中等固体颗粒的迅速粉碎及中等粘度液体的混合，长孔为表面剪切提供了最大面积和良好的循环。</w:t>
      </w:r>
    </w:p>
    <w:p>
      <w:pPr>
        <w:rPr>
          <w:rFonts w:ascii="宋体" w:hAnsi="宋体" w:cs="宋体"/>
          <w:color w:val="2F5597" w:themeColor="accent1" w:themeShade="BF"/>
          <w:sz w:val="24"/>
          <w:szCs w:val="24"/>
        </w:rPr>
      </w:pP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lang w:eastAsia="zh-CN"/>
        </w:rPr>
        <w:t>圆</w:t>
      </w:r>
      <w:r>
        <w:rPr>
          <w:rFonts w:hint="eastAsia" w:ascii="宋体" w:hAnsi="宋体" w:cs="宋体"/>
          <w:color w:val="2F5597" w:themeColor="accent1" w:themeShade="BF"/>
          <w:sz w:val="24"/>
          <w:szCs w:val="24"/>
        </w:rPr>
        <w:t>孔定子头：适用低粘度液体混合，其剪切速率最大，最适合于乳液的制备及小颗粒在液体中的粉碎、溶解过程。</w:t>
      </w:r>
    </w:p>
    <w:p>
      <w:pPr>
        <w:rPr>
          <w:rFonts w:ascii="宋体" w:hAnsi="宋体" w:cs="宋体"/>
          <w:color w:val="2F5597" w:themeColor="accent1" w:themeShade="BF"/>
          <w:sz w:val="24"/>
          <w:szCs w:val="24"/>
        </w:rPr>
      </w:pPr>
    </w:p>
    <w:p>
      <w:pP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爪式定子头:</w:t>
      </w:r>
    </w:p>
    <w:p>
      <w:pP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双向吸料方式在容器内形成双向双曲线大循环漩涡，避免了容器类物料难以吸入造成的死角，乳化均质更彻底。</w:t>
      </w:r>
    </w:p>
    <w:p>
      <w:pPr>
        <w:rPr>
          <w:rFonts w:hint="eastAsia" w:ascii="宋体" w:hAnsi="宋体" w:cs="宋体"/>
          <w:color w:val="2F5597" w:themeColor="accent1" w:themeShade="BF"/>
          <w:sz w:val="24"/>
          <w:szCs w:val="24"/>
        </w:rPr>
      </w:pPr>
    </w:p>
    <w:p>
      <w:pPr>
        <w:widowControl/>
        <w:shd w:val="clear" w:color="auto" w:fill="FFFFFF"/>
        <w:spacing w:line="360" w:lineRule="auto"/>
        <w:jc w:val="left"/>
        <w:textAlignment w:val="center"/>
        <w:rPr>
          <w:rFonts w:hint="eastAsia" w:ascii="宋体" w:hAnsi="宋体" w:eastAsia="宋体" w:cs="宋体"/>
          <w:color w:val="2F5597" w:themeColor="accent1" w:themeShade="BF"/>
          <w:kern w:val="0"/>
          <w:sz w:val="24"/>
          <w:szCs w:val="24"/>
          <w:shd w:val="clear" w:color="auto" w:fill="FFFFFF"/>
          <w:lang w:eastAsia="zh-CN" w:bidi="ar"/>
        </w:rPr>
      </w:pPr>
      <w:r>
        <w:rPr>
          <w:rFonts w:hint="eastAsia" w:ascii="宋体" w:hAnsi="宋体" w:eastAsia="宋体" w:cs="宋体"/>
          <w:color w:val="2F5597" w:themeColor="accent1" w:themeShade="BF"/>
          <w:kern w:val="0"/>
          <w:sz w:val="24"/>
          <w:szCs w:val="24"/>
          <w:shd w:val="clear" w:color="auto" w:fill="FFFFFF"/>
          <w:lang w:val="en-US" w:eastAsia="zh-CN" w:bidi="ar"/>
        </w:rPr>
        <w:drawing>
          <wp:inline distT="0" distB="0" distL="114300" distR="114300">
            <wp:extent cx="938530" cy="938530"/>
            <wp:effectExtent l="0" t="0" r="0" b="0"/>
            <wp:docPr id="6" name="图片 6" descr="长孔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长孔型"/>
                    <pic:cNvPicPr>
                      <a:picLocks noChangeAspect="1"/>
                    </pic:cNvPicPr>
                  </pic:nvPicPr>
                  <pic:blipFill>
                    <a:blip r:embed="rId7"/>
                    <a:stretch>
                      <a:fillRect/>
                    </a:stretch>
                  </pic:blipFill>
                  <pic:spPr>
                    <a:xfrm>
                      <a:off x="0" y="0"/>
                      <a:ext cx="938530" cy="938530"/>
                    </a:xfrm>
                    <a:prstGeom prst="rect">
                      <a:avLst/>
                    </a:prstGeom>
                  </pic:spPr>
                </pic:pic>
              </a:graphicData>
            </a:graphic>
          </wp:inline>
        </w:drawing>
      </w:r>
      <w:bookmarkStart w:id="0" w:name="_GoBack"/>
      <w:bookmarkEnd w:id="0"/>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1022985" cy="1022985"/>
            <wp:effectExtent l="0" t="0" r="5715" b="5715"/>
            <wp:docPr id="8" name="图片 8" descr="0cdf6e10465058ee7371c9d5c20f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cdf6e10465058ee7371c9d5c20fd30"/>
                    <pic:cNvPicPr>
                      <a:picLocks noChangeAspect="1"/>
                    </pic:cNvPicPr>
                  </pic:nvPicPr>
                  <pic:blipFill>
                    <a:blip r:embed="rId8"/>
                    <a:stretch>
                      <a:fillRect/>
                    </a:stretch>
                  </pic:blipFill>
                  <pic:spPr>
                    <a:xfrm>
                      <a:off x="0" y="0"/>
                      <a:ext cx="1022985" cy="1022985"/>
                    </a:xfrm>
                    <a:prstGeom prst="rect">
                      <a:avLst/>
                    </a:prstGeom>
                  </pic:spPr>
                </pic:pic>
              </a:graphicData>
            </a:graphic>
          </wp:inline>
        </w:drawing>
      </w:r>
      <w:r>
        <w:rPr>
          <w:rFonts w:hint="eastAsia" w:ascii="宋体" w:hAnsi="宋体" w:cs="宋体"/>
          <w:color w:val="2F5597" w:themeColor="accent1" w:themeShade="BF"/>
          <w:kern w:val="0"/>
          <w:sz w:val="24"/>
          <w:szCs w:val="24"/>
          <w:shd w:val="clear" w:color="auto" w:fill="FFFFFF"/>
          <w:lang w:val="en-US" w:eastAsia="zh-CN" w:bidi="ar"/>
        </w:rPr>
        <w:t xml:space="preserve">         </w:t>
      </w:r>
      <w:r>
        <w:rPr>
          <w:rFonts w:hint="eastAsia" w:ascii="宋体" w:hAnsi="宋体" w:eastAsia="宋体" w:cs="宋体"/>
          <w:color w:val="2F5597" w:themeColor="accent1" w:themeShade="BF"/>
          <w:kern w:val="0"/>
          <w:sz w:val="24"/>
          <w:szCs w:val="24"/>
          <w:shd w:val="clear" w:color="auto" w:fill="FFFFFF"/>
          <w:lang w:eastAsia="zh-CN" w:bidi="ar"/>
        </w:rPr>
        <w:drawing>
          <wp:inline distT="0" distB="0" distL="114300" distR="114300">
            <wp:extent cx="966470" cy="966470"/>
            <wp:effectExtent l="0" t="0" r="5080" b="5080"/>
            <wp:docPr id="2" name="图片 2" descr="2dea4dd89b7d5e25c2c11facd25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ea4dd89b7d5e25c2c11facd256194"/>
                    <pic:cNvPicPr>
                      <a:picLocks noChangeAspect="1"/>
                    </pic:cNvPicPr>
                  </pic:nvPicPr>
                  <pic:blipFill>
                    <a:blip r:embed="rId9"/>
                    <a:stretch>
                      <a:fillRect/>
                    </a:stretch>
                  </pic:blipFill>
                  <pic:spPr>
                    <a:xfrm>
                      <a:off x="0" y="0"/>
                      <a:ext cx="966470" cy="966470"/>
                    </a:xfrm>
                    <a:prstGeom prst="rect">
                      <a:avLst/>
                    </a:prstGeom>
                  </pic:spPr>
                </pic:pic>
              </a:graphicData>
            </a:graphic>
          </wp:inline>
        </w:drawing>
      </w:r>
    </w:p>
    <w:p>
      <w:pPr>
        <w:widowControl/>
        <w:shd w:val="clear" w:color="auto" w:fill="FFFFFF"/>
        <w:spacing w:line="360" w:lineRule="auto"/>
        <w:jc w:val="left"/>
        <w:textAlignment w:val="center"/>
        <w:rPr>
          <w:rFonts w:ascii="宋体" w:hAnsi="宋体" w:cs="宋体"/>
          <w:color w:val="2F5597" w:themeColor="accent1" w:themeShade="BF"/>
          <w:kern w:val="0"/>
          <w:sz w:val="24"/>
          <w:szCs w:val="24"/>
          <w:shd w:val="clear" w:color="auto" w:fill="FFFFFF"/>
          <w:lang w:bidi="ar"/>
        </w:rPr>
      </w:pPr>
      <w:r>
        <w:rPr>
          <w:rFonts w:hint="eastAsia" w:ascii="宋体" w:hAnsi="宋体" w:cs="宋体"/>
          <w:color w:val="2F5597" w:themeColor="accent1" w:themeShade="BF"/>
          <w:sz w:val="24"/>
          <w:szCs w:val="24"/>
        </w:rPr>
        <w:t>长孔型定子头</w:t>
      </w:r>
      <w:r>
        <w:rPr>
          <w:rFonts w:hint="eastAsia" w:ascii="宋体" w:hAnsi="宋体" w:cs="宋体"/>
          <w:color w:val="2F5597" w:themeColor="accent1" w:themeShade="BF"/>
          <w:sz w:val="24"/>
          <w:szCs w:val="24"/>
          <w:lang w:val="en-US" w:eastAsia="zh-CN"/>
        </w:rPr>
        <w:t xml:space="preserve">              圆</w:t>
      </w:r>
      <w:r>
        <w:rPr>
          <w:rFonts w:hint="eastAsia" w:ascii="宋体" w:hAnsi="宋体" w:cs="宋体"/>
          <w:color w:val="2F5597" w:themeColor="accent1" w:themeShade="BF"/>
          <w:sz w:val="24"/>
          <w:szCs w:val="24"/>
        </w:rPr>
        <w:t>孔定子头</w:t>
      </w:r>
      <w:r>
        <w:rPr>
          <w:rFonts w:hint="eastAsia" w:ascii="宋体" w:hAnsi="宋体" w:cs="宋体"/>
          <w:color w:val="2F5597" w:themeColor="accent1" w:themeShade="BF"/>
          <w:sz w:val="24"/>
          <w:szCs w:val="24"/>
          <w:lang w:val="en-US" w:eastAsia="zh-CN"/>
        </w:rPr>
        <w:t xml:space="preserve">            </w:t>
      </w:r>
      <w:r>
        <w:rPr>
          <w:rFonts w:hint="eastAsia" w:ascii="宋体" w:hAnsi="宋体" w:cs="宋体"/>
          <w:color w:val="2F5597" w:themeColor="accent1" w:themeShade="BF"/>
          <w:sz w:val="24"/>
          <w:szCs w:val="24"/>
        </w:rPr>
        <w:t>爪式定子头</w:t>
      </w: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63CFD"/>
    <w:multiLevelType w:val="multilevel"/>
    <w:tmpl w:val="39B63CFD"/>
    <w:lvl w:ilvl="0" w:tentative="0">
      <w:start w:val="4"/>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07BE3"/>
    <w:rsid w:val="000119AF"/>
    <w:rsid w:val="0002414F"/>
    <w:rsid w:val="00084F4D"/>
    <w:rsid w:val="00091A92"/>
    <w:rsid w:val="000A30B6"/>
    <w:rsid w:val="000C348E"/>
    <w:rsid w:val="000C75E3"/>
    <w:rsid w:val="000F0EE7"/>
    <w:rsid w:val="00192A06"/>
    <w:rsid w:val="0019437E"/>
    <w:rsid w:val="001C2F0D"/>
    <w:rsid w:val="0020067A"/>
    <w:rsid w:val="00227827"/>
    <w:rsid w:val="00236DCE"/>
    <w:rsid w:val="00262F28"/>
    <w:rsid w:val="002B33B0"/>
    <w:rsid w:val="002B6FFF"/>
    <w:rsid w:val="002C777E"/>
    <w:rsid w:val="002F2DF2"/>
    <w:rsid w:val="002F500E"/>
    <w:rsid w:val="002F74BD"/>
    <w:rsid w:val="00315F3A"/>
    <w:rsid w:val="00322A67"/>
    <w:rsid w:val="0033357C"/>
    <w:rsid w:val="003355DC"/>
    <w:rsid w:val="00343CBD"/>
    <w:rsid w:val="003775A9"/>
    <w:rsid w:val="003D498D"/>
    <w:rsid w:val="00427D6F"/>
    <w:rsid w:val="00496B10"/>
    <w:rsid w:val="004A2EE0"/>
    <w:rsid w:val="004C123B"/>
    <w:rsid w:val="004E7E09"/>
    <w:rsid w:val="00535C95"/>
    <w:rsid w:val="0056688B"/>
    <w:rsid w:val="00580C1D"/>
    <w:rsid w:val="00592FED"/>
    <w:rsid w:val="00596893"/>
    <w:rsid w:val="005A5BBC"/>
    <w:rsid w:val="006665FA"/>
    <w:rsid w:val="006871DA"/>
    <w:rsid w:val="0069114D"/>
    <w:rsid w:val="00741072"/>
    <w:rsid w:val="007650E0"/>
    <w:rsid w:val="007872F0"/>
    <w:rsid w:val="007A51F4"/>
    <w:rsid w:val="008052D3"/>
    <w:rsid w:val="00854961"/>
    <w:rsid w:val="008552A1"/>
    <w:rsid w:val="008B2ECB"/>
    <w:rsid w:val="0094214F"/>
    <w:rsid w:val="00955DE4"/>
    <w:rsid w:val="0098299C"/>
    <w:rsid w:val="00990FAD"/>
    <w:rsid w:val="009E7CF6"/>
    <w:rsid w:val="00A17403"/>
    <w:rsid w:val="00A4672B"/>
    <w:rsid w:val="00A5081C"/>
    <w:rsid w:val="00A94E0D"/>
    <w:rsid w:val="00AA4A1B"/>
    <w:rsid w:val="00AA5CBF"/>
    <w:rsid w:val="00AE399E"/>
    <w:rsid w:val="00AF7348"/>
    <w:rsid w:val="00B61697"/>
    <w:rsid w:val="00B839ED"/>
    <w:rsid w:val="00BC76BA"/>
    <w:rsid w:val="00BD42F1"/>
    <w:rsid w:val="00C47428"/>
    <w:rsid w:val="00C83139"/>
    <w:rsid w:val="00CA0C72"/>
    <w:rsid w:val="00CD1E6B"/>
    <w:rsid w:val="00D07C89"/>
    <w:rsid w:val="00D50446"/>
    <w:rsid w:val="00D63CB2"/>
    <w:rsid w:val="00DA0404"/>
    <w:rsid w:val="00DA6A09"/>
    <w:rsid w:val="00DB3191"/>
    <w:rsid w:val="00E15CAB"/>
    <w:rsid w:val="00E2271A"/>
    <w:rsid w:val="00E44585"/>
    <w:rsid w:val="00E54BE6"/>
    <w:rsid w:val="00E610B3"/>
    <w:rsid w:val="00E62DD8"/>
    <w:rsid w:val="00E900EE"/>
    <w:rsid w:val="00EC783E"/>
    <w:rsid w:val="00EE686A"/>
    <w:rsid w:val="00EF22FA"/>
    <w:rsid w:val="00EF49CC"/>
    <w:rsid w:val="00EF585C"/>
    <w:rsid w:val="00F8754C"/>
    <w:rsid w:val="00FA3922"/>
    <w:rsid w:val="00FE197F"/>
    <w:rsid w:val="017212D3"/>
    <w:rsid w:val="01965B57"/>
    <w:rsid w:val="02AA71DB"/>
    <w:rsid w:val="02D933F4"/>
    <w:rsid w:val="02F87F3E"/>
    <w:rsid w:val="03F258F4"/>
    <w:rsid w:val="04E918A9"/>
    <w:rsid w:val="0692734F"/>
    <w:rsid w:val="07287CBE"/>
    <w:rsid w:val="07553E41"/>
    <w:rsid w:val="091F1204"/>
    <w:rsid w:val="0A184A29"/>
    <w:rsid w:val="0A366F57"/>
    <w:rsid w:val="0A610F7F"/>
    <w:rsid w:val="0A965B96"/>
    <w:rsid w:val="0EAB176D"/>
    <w:rsid w:val="10C02CE0"/>
    <w:rsid w:val="10E60B82"/>
    <w:rsid w:val="11385EB2"/>
    <w:rsid w:val="117D1E52"/>
    <w:rsid w:val="11B80688"/>
    <w:rsid w:val="11D22345"/>
    <w:rsid w:val="12F323D9"/>
    <w:rsid w:val="13377D20"/>
    <w:rsid w:val="14792C38"/>
    <w:rsid w:val="162626F1"/>
    <w:rsid w:val="163338FF"/>
    <w:rsid w:val="167836D1"/>
    <w:rsid w:val="16855545"/>
    <w:rsid w:val="16A71820"/>
    <w:rsid w:val="180D6EB2"/>
    <w:rsid w:val="18711AC3"/>
    <w:rsid w:val="1886336C"/>
    <w:rsid w:val="1976192B"/>
    <w:rsid w:val="1A4C7833"/>
    <w:rsid w:val="1AB80B3F"/>
    <w:rsid w:val="1B871C86"/>
    <w:rsid w:val="1C4A28F1"/>
    <w:rsid w:val="1C8D4EFF"/>
    <w:rsid w:val="1CAF63EE"/>
    <w:rsid w:val="1DE275D5"/>
    <w:rsid w:val="1E486378"/>
    <w:rsid w:val="1F995798"/>
    <w:rsid w:val="2159429D"/>
    <w:rsid w:val="216A23E2"/>
    <w:rsid w:val="21A5351C"/>
    <w:rsid w:val="21C226FE"/>
    <w:rsid w:val="22E601DB"/>
    <w:rsid w:val="22F94173"/>
    <w:rsid w:val="23243285"/>
    <w:rsid w:val="241D3C4F"/>
    <w:rsid w:val="246A0583"/>
    <w:rsid w:val="24AE6CFC"/>
    <w:rsid w:val="295A600F"/>
    <w:rsid w:val="29FE7D2A"/>
    <w:rsid w:val="2A602115"/>
    <w:rsid w:val="2A847618"/>
    <w:rsid w:val="2AC31D90"/>
    <w:rsid w:val="2BE36FED"/>
    <w:rsid w:val="2C2B4AD0"/>
    <w:rsid w:val="2C936415"/>
    <w:rsid w:val="2CBC35B2"/>
    <w:rsid w:val="2D270418"/>
    <w:rsid w:val="2D9E504D"/>
    <w:rsid w:val="2DBB4423"/>
    <w:rsid w:val="2E5E5B1C"/>
    <w:rsid w:val="30667F5E"/>
    <w:rsid w:val="30954560"/>
    <w:rsid w:val="32494755"/>
    <w:rsid w:val="328F28A7"/>
    <w:rsid w:val="34121BAC"/>
    <w:rsid w:val="348346E6"/>
    <w:rsid w:val="348E7F12"/>
    <w:rsid w:val="354872DA"/>
    <w:rsid w:val="35B92EB0"/>
    <w:rsid w:val="36585CBC"/>
    <w:rsid w:val="36E10A24"/>
    <w:rsid w:val="38B059D3"/>
    <w:rsid w:val="3A045A6B"/>
    <w:rsid w:val="3A542ACC"/>
    <w:rsid w:val="3ABF1760"/>
    <w:rsid w:val="3C5E63A4"/>
    <w:rsid w:val="3DA6127B"/>
    <w:rsid w:val="3DEB6E30"/>
    <w:rsid w:val="3E2B5E06"/>
    <w:rsid w:val="40764144"/>
    <w:rsid w:val="410B44C7"/>
    <w:rsid w:val="43711ECA"/>
    <w:rsid w:val="43EA5F2F"/>
    <w:rsid w:val="442711AA"/>
    <w:rsid w:val="45177A57"/>
    <w:rsid w:val="45E369C8"/>
    <w:rsid w:val="494276B3"/>
    <w:rsid w:val="498B526A"/>
    <w:rsid w:val="4A527F2C"/>
    <w:rsid w:val="4A6E6488"/>
    <w:rsid w:val="4AA4627F"/>
    <w:rsid w:val="4ADC76DB"/>
    <w:rsid w:val="4CA81950"/>
    <w:rsid w:val="4D4E77F2"/>
    <w:rsid w:val="4E931B10"/>
    <w:rsid w:val="4EDF2192"/>
    <w:rsid w:val="4F3F6842"/>
    <w:rsid w:val="4FD73045"/>
    <w:rsid w:val="519A70C8"/>
    <w:rsid w:val="51C771E3"/>
    <w:rsid w:val="51F9487C"/>
    <w:rsid w:val="52EE746C"/>
    <w:rsid w:val="5452446D"/>
    <w:rsid w:val="54D77948"/>
    <w:rsid w:val="55F93C9A"/>
    <w:rsid w:val="563C7D3B"/>
    <w:rsid w:val="567A4548"/>
    <w:rsid w:val="576F688D"/>
    <w:rsid w:val="5826783E"/>
    <w:rsid w:val="58926505"/>
    <w:rsid w:val="58C6092D"/>
    <w:rsid w:val="58F34817"/>
    <w:rsid w:val="591C6583"/>
    <w:rsid w:val="594D1214"/>
    <w:rsid w:val="59AB3574"/>
    <w:rsid w:val="5BDA755D"/>
    <w:rsid w:val="5DDC6E97"/>
    <w:rsid w:val="5F0916A0"/>
    <w:rsid w:val="60104331"/>
    <w:rsid w:val="607225C9"/>
    <w:rsid w:val="608B6872"/>
    <w:rsid w:val="60CB255A"/>
    <w:rsid w:val="61FA2450"/>
    <w:rsid w:val="624F31B6"/>
    <w:rsid w:val="626F460D"/>
    <w:rsid w:val="62737F03"/>
    <w:rsid w:val="62BD7680"/>
    <w:rsid w:val="63B80222"/>
    <w:rsid w:val="64BB3B0A"/>
    <w:rsid w:val="65173864"/>
    <w:rsid w:val="67074C35"/>
    <w:rsid w:val="67B86FD5"/>
    <w:rsid w:val="67E40A75"/>
    <w:rsid w:val="68CC736B"/>
    <w:rsid w:val="696A038E"/>
    <w:rsid w:val="69A05A18"/>
    <w:rsid w:val="6AB4227F"/>
    <w:rsid w:val="6B3B6611"/>
    <w:rsid w:val="6B5251F4"/>
    <w:rsid w:val="6B6C7258"/>
    <w:rsid w:val="6BA7011A"/>
    <w:rsid w:val="6C063507"/>
    <w:rsid w:val="6D785A27"/>
    <w:rsid w:val="6DFB560B"/>
    <w:rsid w:val="6F17421F"/>
    <w:rsid w:val="6F7B3153"/>
    <w:rsid w:val="6F975B11"/>
    <w:rsid w:val="71BF1349"/>
    <w:rsid w:val="71E561F0"/>
    <w:rsid w:val="73587C07"/>
    <w:rsid w:val="737F1A45"/>
    <w:rsid w:val="73974732"/>
    <w:rsid w:val="747454FA"/>
    <w:rsid w:val="74A64C8E"/>
    <w:rsid w:val="74E75341"/>
    <w:rsid w:val="75B42347"/>
    <w:rsid w:val="75EA64FF"/>
    <w:rsid w:val="769E1C73"/>
    <w:rsid w:val="76E353C5"/>
    <w:rsid w:val="77C15694"/>
    <w:rsid w:val="78323E75"/>
    <w:rsid w:val="78A275C6"/>
    <w:rsid w:val="78F84331"/>
    <w:rsid w:val="79276766"/>
    <w:rsid w:val="79FB6B36"/>
    <w:rsid w:val="7A61311F"/>
    <w:rsid w:val="7A664B08"/>
    <w:rsid w:val="7AA2317C"/>
    <w:rsid w:val="7B965710"/>
    <w:rsid w:val="7CAD3559"/>
    <w:rsid w:val="7D0820CC"/>
    <w:rsid w:val="7D346F83"/>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7D6F94-5FCB-4600-BBA1-EE9B4495CF18}">
  <ds:schemaRefs/>
</ds:datastoreItem>
</file>

<file path=docProps/app.xml><?xml version="1.0" encoding="utf-8"?>
<Properties xmlns="http://schemas.openxmlformats.org/officeDocument/2006/extended-properties" xmlns:vt="http://schemas.openxmlformats.org/officeDocument/2006/docPropsVTypes">
  <Template>Normal</Template>
  <Pages>3</Pages>
  <Words>1033</Words>
  <Characters>1113</Characters>
  <Lines>8</Lines>
  <Paragraphs>2</Paragraphs>
  <TotalTime>0</TotalTime>
  <ScaleCrop>false</ScaleCrop>
  <LinksUpToDate>false</LinksUpToDate>
  <CharactersWithSpaces>1161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2020-12-31T06:32:00Z</dcterms:created>
  <dc:creator>孙长娟</dc:creator>
  <cp:lastModifiedBy>五七</cp:lastModifiedBy>
  <dcterms:modified xsi:type="dcterms:W3CDTF">2024-04-26T06:24:02Z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RubyTemplateID" linkTarget="0">
    <vt:lpwstr>6</vt:lpwstr>
  </property>
  <property fmtid="{D5CDD505-2E9C-101B-9397-08002B2CF9AE}" pid="4" name="ICV">
    <vt:lpwstr>7A1FC892BE0049F29187C59835A33C24</vt:lpwstr>
  </property>
</Properties>
</file>