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61"/>
        </w:tabs>
        <w:rPr>
          <w:sz w:val="30"/>
        </w:rPr>
      </w:pPr>
      <w:r>
        <w:rPr>
          <w:sz w:val="30"/>
        </w:rPr>
        <mc:AlternateContent>
          <mc:Choice Requires="wps">
            <w:drawing>
              <wp:anchor distT="0" distB="0" distL="114300" distR="114300" simplePos="0" relativeHeight="251662336" behindDoc="0" locked="0" layoutInCell="1" allowOverlap="1">
                <wp:simplePos x="0" y="0"/>
                <wp:positionH relativeFrom="column">
                  <wp:posOffset>1914525</wp:posOffset>
                </wp:positionH>
                <wp:positionV relativeFrom="paragraph">
                  <wp:posOffset>3086100</wp:posOffset>
                </wp:positionV>
                <wp:extent cx="1828800" cy="182880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HB-20B耐腐蚀隔膜泵</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50.75pt;margin-top:243pt;height:144pt;width:144pt;mso-wrap-distance-bottom:0pt;mso-wrap-distance-top:0pt;mso-wrap-style:none;z-index:251662336;mso-width-relative:page;mso-height-relative:page;" filled="f" stroked="f" coordsize="21600,21600" o:gfxdata="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GilTtkAAAALAQAADwAAAAAAAAABACAAAAAiAAAAZHJzL2Rvd25y&#10;ZXYueG1sUEsBAhQAFAAAAAgAh07iQCJ9L7Y2AgAAZQQAAA4AAAAAAAAAAQAgAAAAKAEAAGRycy9l&#10;Mm9Eb2MueG1sUEsFBgAAAAAGAAYAWQEAANAFAAAAAA==&#10;">
                <v:fill on="f" focussize="0,0"/>
                <v:stroke on="f" weight="0.5pt"/>
                <v:imagedata o:title=""/>
                <o:lock v:ext="edit" aspectratio="f"/>
                <v:textbox style="mso-fit-shape-to-text:t;">
                  <w:txbxContent>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HB-20B耐腐蚀隔膜泵</w:t>
                      </w:r>
                    </w:p>
                  </w:txbxContent>
                </v:textbox>
                <w10:wrap type="topAndBottom"/>
              </v:shape>
            </w:pict>
          </mc:Fallback>
        </mc:AlternateContent>
      </w:r>
      <w:r>
        <w:rPr>
          <w:rFonts w:ascii="宋体" w:hAnsi="宋体" w:cs="宋体"/>
          <w:sz w:val="24"/>
          <w:szCs w:val="24"/>
        </w:rPr>
        <w:drawing>
          <wp:anchor distT="0" distB="0" distL="114300" distR="114300" simplePos="0" relativeHeight="251663360" behindDoc="0" locked="0" layoutInCell="1" allowOverlap="1">
            <wp:simplePos x="0" y="0"/>
            <wp:positionH relativeFrom="column">
              <wp:posOffset>1524000</wp:posOffset>
            </wp:positionH>
            <wp:positionV relativeFrom="paragraph">
              <wp:posOffset>74295</wp:posOffset>
            </wp:positionV>
            <wp:extent cx="2714625" cy="2872740"/>
            <wp:effectExtent l="0" t="0" r="9525"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rcRect l="14436" t="10769" r="11718" b="11077"/>
                    <a:stretch>
                      <a:fillRect/>
                    </a:stretch>
                  </pic:blipFill>
                  <pic:spPr>
                    <a:xfrm>
                      <a:off x="0" y="0"/>
                      <a:ext cx="2714625" cy="2872740"/>
                    </a:xfrm>
                    <a:prstGeom prst="rect">
                      <a:avLst/>
                    </a:prstGeom>
                    <a:noFill/>
                    <a:ln w="9525">
                      <a:noFill/>
                    </a:ln>
                  </pic:spPr>
                </pic:pic>
              </a:graphicData>
            </a:graphic>
          </wp:anchor>
        </w:drawing>
      </w: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22.35pt;height:49.1pt;width:141.15pt;z-index:-251657216;mso-width-relative:page;mso-height-relative:page;" filled="f" stroked="f" coordsize="21600,21600" o:gfxdata="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zBocNsAAAAKAQAADwAAAAAAAAABACAAAAAiAAAAZHJz&#10;L2Rvd25yZXYueG1sUEsBAhQAFAAAAAgAh07iQCLqnjE6AgAAZgQAAA4AAAAAAAAAAQAgAAAAKgEA&#10;AGRycy9lMm9Eb2MueG1sUEsFBgAAAAAGAAYAWQEAANYFAAAAAA==&#10;">
                <v:fill on="f" focussize="0,0"/>
                <v:stroke on="f" weight="0.5pt"/>
                <v:imagedata o:title=""/>
                <o:lock v:ext="edit" aspectratio="f"/>
                <v:textbo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1312"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pt;height:0.3pt;width:415.15pt;z-index:-251655168;mso-width-relative:page;mso-height-relative:page;" filled="f" stroked="t" coordsize="21600,21600" o:gfxdata="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eyux1QAAAAcBAAAPAAAAAAAAAAEAIAAAACIAAABkcnMvZG93bnJldi54bWxQSwECFAAUAAAACACH&#10;TuJAabUdEe4BAAC1AwAADgAAAAAAAAABACAAAAAkAQAAZHJzL2Uyb0RvYy54bWxQSwUGAAAAAAYA&#10;BgBZAQAAhA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pPr>
        <w:adjustRightInd w:val="0"/>
        <w:spacing w:line="360" w:lineRule="auto"/>
        <w:ind w:firstLine="480" w:firstLineChars="20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耐腐蚀真空隔膜泵是一款介质为气体的双级泵，所有与气体接触部分均为聚四氟乙烯（PTFE）材料，耐腐蚀程度高，适用范围广，可完全替代水循环泵，适合于化学，制药，石化等行业对腐蚀性气体的处理，如油滤，减压蒸馏，旋转蒸发，真空浓缩，离心浓缩，固体萃取等。</w:t>
      </w:r>
    </w:p>
    <w:p>
      <w:pPr>
        <w:adjustRightInd w:val="0"/>
        <w:spacing w:line="360" w:lineRule="auto"/>
        <w:ind w:firstLine="480" w:firstLineChars="200"/>
        <w:rPr>
          <w:rFonts w:ascii="宋体" w:hAnsi="宋体" w:cs="宋体"/>
          <w:color w:val="2F5597" w:themeColor="accent1" w:themeShade="BF"/>
          <w:sz w:val="24"/>
          <w:szCs w:val="24"/>
        </w:rPr>
      </w:pP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6192;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pPr>
        <w:widowControl/>
        <w:numPr>
          <w:ilvl w:val="0"/>
          <w:numId w:val="1"/>
        </w:numPr>
        <w:shd w:val="clear" w:color="auto" w:fill="FFFFFF"/>
        <w:spacing w:line="360" w:lineRule="auto"/>
        <w:ind w:left="0" w:firstLine="0"/>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抗强化学腐蚀</w:t>
      </w:r>
    </w:p>
    <w:p>
      <w:pPr>
        <w:widowControl/>
        <w:numPr>
          <w:ilvl w:val="0"/>
          <w:numId w:val="0"/>
        </w:numPr>
        <w:shd w:val="clear" w:color="auto" w:fill="FFFFFF"/>
        <w:spacing w:line="360" w:lineRule="auto"/>
        <w:ind w:leftChars="0"/>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耐腐蚀真空泵使用了特殊的隔膜 ( 膜片表面复合 PTFE 涂层 ) 和泵头设计，包括全部接头和管路，保证与气体接触的部分均为进口 PTFE 材料，因此可耐大部分具有腐蚀性的气体；同时电器开关及外壳也做防蚀处理，特别是对传动机构和电路部分使用耐腐蚀材料形成密闭空间，与外界环境彻底隔绝，使真空泵不仅能耐腐蚀性介质，还能完美的适用于腐蚀性环境中，完全解决了真空泵的耐化学腐蚀问题 ;</w:t>
      </w:r>
    </w:p>
    <w:p>
      <w:pPr>
        <w:widowControl/>
        <w:numPr>
          <w:ilvl w:val="0"/>
          <w:numId w:val="1"/>
        </w:numPr>
        <w:shd w:val="clear" w:color="auto" w:fill="FFFFFF"/>
        <w:spacing w:line="360" w:lineRule="auto"/>
        <w:ind w:left="0" w:firstLine="0"/>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无污染、免保养</w:t>
      </w:r>
    </w:p>
    <w:p>
      <w:pPr>
        <w:widowControl/>
        <w:numPr>
          <w:ilvl w:val="0"/>
          <w:numId w:val="0"/>
        </w:numPr>
        <w:shd w:val="clear" w:color="auto" w:fill="FFFFFF"/>
        <w:spacing w:line="360" w:lineRule="auto"/>
        <w:ind w:leftChars="0"/>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隔膜真空泵可实现溶剂完全回收，消除有毒有害的有机溶剂对环境的污染和对操作者及附近人员的身体健康的危害，即使混合溶剂也能高度回收利用；隔膜泵是无水无油的干泵，让实验室变得洁净和安静，使用者无需定期清洁、换管、换水等维护工作，隔膜真空泵做到了 100% 免维护 ;</w:t>
      </w:r>
    </w:p>
    <w:p>
      <w:pPr>
        <w:widowControl/>
        <w:numPr>
          <w:ilvl w:val="0"/>
          <w:numId w:val="1"/>
        </w:numPr>
        <w:shd w:val="clear" w:color="auto" w:fill="FFFFFF"/>
        <w:spacing w:line="360" w:lineRule="auto"/>
        <w:ind w:left="0" w:firstLine="0"/>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低噪音、低震动</w:t>
      </w:r>
    </w:p>
    <w:p>
      <w:pPr>
        <w:widowControl/>
        <w:numPr>
          <w:ilvl w:val="0"/>
          <w:numId w:val="0"/>
        </w:numPr>
        <w:shd w:val="clear" w:color="auto" w:fill="FFFFFF"/>
        <w:spacing w:line="360" w:lineRule="auto"/>
        <w:ind w:leftChars="0"/>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耐腐蚀真空泵采用电动机直驱式动力传输，无中间传动件，再加上隔膜低冲程、低噪音的特性，因此产品噪音能保持在 70dB 以下;</w:t>
      </w:r>
    </w:p>
    <w:p>
      <w:pPr>
        <w:widowControl/>
        <w:numPr>
          <w:ilvl w:val="0"/>
          <w:numId w:val="1"/>
        </w:numPr>
        <w:shd w:val="clear" w:color="auto" w:fill="FFFFFF"/>
        <w:spacing w:line="360" w:lineRule="auto"/>
        <w:ind w:left="0" w:firstLine="0"/>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过热保护</w:t>
      </w:r>
    </w:p>
    <w:p>
      <w:pPr>
        <w:widowControl/>
        <w:numPr>
          <w:ilvl w:val="0"/>
          <w:numId w:val="0"/>
        </w:numPr>
        <w:shd w:val="clear" w:color="auto" w:fill="FFFFFF"/>
        <w:spacing w:line="360" w:lineRule="auto"/>
        <w:ind w:leftChars="0"/>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 xml:space="preserve">每个产品均装有温度保护开关，当机体内部温度过高时会自动停机，等温度冷却后再自行启动，保证系统工作的稳定性及安全性 </w:t>
      </w:r>
      <w:r>
        <w:rPr>
          <w:rFonts w:hint="eastAsia" w:ascii="宋体" w:hAnsi="宋体" w:cs="宋体"/>
          <w:color w:val="2F5597" w:themeColor="accent1" w:themeShade="BF"/>
          <w:sz w:val="24"/>
          <w:szCs w:val="24"/>
          <w:lang w:eastAsia="zh-CN"/>
        </w:rPr>
        <w:t>。</w:t>
      </w: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3、技术参数</w:t>
      </w:r>
    </w:p>
    <w:tbl>
      <w:tblPr>
        <w:tblStyle w:val="13"/>
        <w:tblW w:w="8213" w:type="dxa"/>
        <w:jc w:val="center"/>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3237"/>
        <w:gridCol w:w="4976"/>
      </w:tblGrid>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237" w:type="dxa"/>
            <w:tcBorders>
              <w:top w:val="single" w:color="auto" w:sz="4" w:space="0"/>
              <w:left w:val="single" w:color="auto" w:sz="4" w:space="0"/>
              <w:bottom w:val="single" w:color="auto" w:sz="4" w:space="0"/>
              <w:right w:val="single" w:color="auto" w:sz="8" w:space="0"/>
              <w:insideV w:val="single" w:sz="8" w:space="0"/>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型号</w:t>
            </w:r>
          </w:p>
        </w:tc>
        <w:tc>
          <w:tcPr>
            <w:tcW w:w="4976" w:type="dxa"/>
            <w:tcBorders>
              <w:top w:val="single" w:color="auto" w:sz="4" w:space="0"/>
              <w:left w:val="single" w:color="auto" w:sz="4" w:space="0"/>
              <w:bottom w:val="single" w:color="auto" w:sz="4" w:space="0"/>
              <w:right w:val="single" w:color="auto" w:sz="4" w:space="0"/>
              <w:insideV w:val="single" w:sz="8" w:space="0"/>
              <w:tl2br w:val="nil"/>
              <w:tr2bl w:val="nil"/>
            </w:tcBorders>
            <w:shd w:val="clear" w:color="auto" w:fill="FFFFFF" w:themeFill="background1"/>
            <w:vAlign w:val="center"/>
          </w:tcPr>
          <w:p>
            <w:pPr>
              <w:widowControl/>
              <w:shd w:val="clear" w:color="auto" w:fill="FFFFFF"/>
              <w:spacing w:before="0" w:after="0" w:line="240" w:lineRule="auto"/>
              <w:jc w:val="center"/>
              <w:textAlignment w:val="center"/>
              <w:rPr>
                <w:rStyle w:val="15"/>
                <w:rFonts w:ascii="宋体" w:hAnsi="宋体" w:cs="宋体" w:eastAsiaTheme="majorEastAsia"/>
                <w:b/>
                <w:bCs/>
                <w:color w:val="2F5597" w:themeColor="accent1" w:themeShade="BF"/>
                <w:kern w:val="0"/>
                <w:sz w:val="24"/>
                <w:szCs w:val="24"/>
                <w:shd w:val="clear" w:color="auto" w:fill="FFFFFF"/>
                <w:lang w:bidi="ar"/>
              </w:rPr>
            </w:pPr>
            <w:r>
              <w:rPr>
                <w:rStyle w:val="15"/>
                <w:rFonts w:hint="eastAsia" w:ascii="宋体" w:hAnsi="宋体" w:cs="宋体" w:eastAsiaTheme="majorEastAsia"/>
                <w:b w:val="0"/>
                <w:bCs w:val="0"/>
                <w:color w:val="2F5597" w:themeColor="accent1" w:themeShade="BF"/>
                <w:kern w:val="0"/>
                <w:sz w:val="24"/>
                <w:szCs w:val="24"/>
                <w:shd w:val="clear" w:color="auto" w:fill="FFFFFF"/>
                <w:lang w:bidi="ar"/>
              </w:rPr>
              <w:t>HB-20B</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237" w:type="dxa"/>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货号</w:t>
            </w:r>
          </w:p>
        </w:tc>
        <w:tc>
          <w:tcPr>
            <w:tcW w:w="4976" w:type="dxa"/>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1012012001</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237" w:type="dxa"/>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额定电压/频率</w:t>
            </w:r>
          </w:p>
        </w:tc>
        <w:tc>
          <w:tcPr>
            <w:tcW w:w="4976" w:type="dxa"/>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220V/50HZ</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237" w:type="dxa"/>
            <w:tcBorders>
              <w:top w:val="single" w:color="auto" w:sz="4" w:space="0"/>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额定功率</w:t>
            </w:r>
          </w:p>
        </w:tc>
        <w:tc>
          <w:tcPr>
            <w:tcW w:w="4976" w:type="dxa"/>
            <w:tcBorders>
              <w:top w:val="single" w:color="auto" w:sz="4" w:space="0"/>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120W</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泵头类型</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双级泵</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极限真空度</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6-8</w:t>
            </w:r>
            <w:r>
              <w:rPr>
                <w:rStyle w:val="15"/>
                <w:rFonts w:hint="eastAsia" w:ascii="宋体" w:hAnsi="宋体" w:eastAsia="宋体" w:cs="宋体"/>
                <w:b w:val="0"/>
                <w:bCs w:val="0"/>
                <w:color w:val="2F5597" w:themeColor="accent1" w:themeShade="BF"/>
                <w:kern w:val="0"/>
                <w:sz w:val="24"/>
                <w:szCs w:val="24"/>
                <w:shd w:val="clear" w:color="auto" w:fill="FFFFFF"/>
                <w:lang w:bidi="ar"/>
              </w:rPr>
              <w:t>mbar</w:t>
            </w:r>
            <w:bookmarkStart w:id="0" w:name="_GoBack"/>
            <w:bookmarkEnd w:id="0"/>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最大操作压力</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1bar</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最大流量</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20L/min</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接口规格</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10mm</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介质和环境温度</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5~40℃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环境相对湿度</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＜80%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泵头材料</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default"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bidi="ar"/>
              </w:rPr>
              <w:t>PTFE</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复合膜片材料</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HNBR+PTFE( 可根据客户要求订制非标产品 )</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阀片材料</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FFPM( 可根据客户要求订制非标产品 )</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真空表</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带真空调节阀</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524" w:hRule="exac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固体排料阀</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带</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工作制</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连续工作</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噪音</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 xml:space="preserve">＜ </w:t>
            </w:r>
            <w:r>
              <w:rPr>
                <w:rStyle w:val="15"/>
                <w:rFonts w:hint="eastAsia" w:ascii="宋体" w:hAnsi="宋体" w:cs="宋体"/>
                <w:b w:val="0"/>
                <w:bCs w:val="0"/>
                <w:color w:val="2F5597" w:themeColor="accent1" w:themeShade="BF"/>
                <w:kern w:val="0"/>
                <w:sz w:val="24"/>
                <w:szCs w:val="24"/>
                <w:shd w:val="clear" w:color="auto" w:fill="FFFFFF"/>
                <w:lang w:val="en-US" w:eastAsia="zh-CN" w:bidi="ar"/>
              </w:rPr>
              <w:t>70</w:t>
            </w:r>
            <w:r>
              <w:rPr>
                <w:rStyle w:val="15"/>
                <w:rFonts w:hint="eastAsia" w:ascii="宋体" w:hAnsi="宋体" w:cs="宋体"/>
                <w:b w:val="0"/>
                <w:bCs w:val="0"/>
                <w:color w:val="2F5597" w:themeColor="accent1" w:themeShade="BF"/>
                <w:kern w:val="0"/>
                <w:sz w:val="24"/>
                <w:szCs w:val="24"/>
                <w:shd w:val="clear" w:color="auto" w:fill="FFFFFF"/>
                <w:lang w:bidi="ar"/>
              </w:rPr>
              <w:t>db</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额定转速</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1450 rpm</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外形尺寸</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31</w:t>
            </w:r>
            <w:r>
              <w:rPr>
                <w:rStyle w:val="15"/>
                <w:rFonts w:hint="eastAsia" w:ascii="宋体" w:hAnsi="宋体" w:cs="宋体"/>
                <w:b w:val="0"/>
                <w:bCs w:val="0"/>
                <w:color w:val="2F5597" w:themeColor="accent1" w:themeShade="BF"/>
                <w:kern w:val="0"/>
                <w:sz w:val="24"/>
                <w:szCs w:val="24"/>
                <w:shd w:val="clear" w:color="auto" w:fill="FFFFFF"/>
                <w:lang w:val="en-US" w:eastAsia="zh-CN" w:bidi="ar"/>
              </w:rPr>
              <w:t>5</w:t>
            </w:r>
            <w:r>
              <w:rPr>
                <w:rStyle w:val="15"/>
                <w:rFonts w:hint="eastAsia" w:ascii="宋体" w:hAnsi="宋体" w:eastAsia="宋体" w:cs="宋体"/>
                <w:b w:val="0"/>
                <w:bCs w:val="0"/>
                <w:color w:val="2F5597" w:themeColor="accent1" w:themeShade="BF"/>
                <w:kern w:val="0"/>
                <w:sz w:val="24"/>
                <w:szCs w:val="24"/>
                <w:shd w:val="clear" w:color="auto" w:fill="FFFFFF"/>
                <w:lang w:bidi="ar"/>
              </w:rPr>
              <w:t>*165*210</w:t>
            </w:r>
            <w:r>
              <w:rPr>
                <w:rStyle w:val="15"/>
                <w:rFonts w:hint="eastAsia" w:ascii="宋体" w:hAnsi="宋体" w:cs="宋体"/>
                <w:b w:val="0"/>
                <w:bCs w:val="0"/>
                <w:color w:val="2F5597" w:themeColor="accent1" w:themeShade="BF"/>
                <w:kern w:val="0"/>
                <w:sz w:val="24"/>
                <w:szCs w:val="24"/>
                <w:shd w:val="clear" w:color="auto" w:fill="FFFFFF"/>
                <w:lang w:val="en-US" w:eastAsia="zh-CN" w:bidi="ar"/>
              </w:rPr>
              <w:t>mm</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包装尺寸</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default"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470*330*270mm</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净</w:t>
            </w:r>
            <w:r>
              <w:rPr>
                <w:rStyle w:val="15"/>
                <w:rFonts w:hint="eastAsia" w:ascii="宋体" w:hAnsi="宋体" w:eastAsia="宋体" w:cs="宋体"/>
                <w:b w:val="0"/>
                <w:bCs w:val="0"/>
                <w:color w:val="2F5597" w:themeColor="accent1" w:themeShade="BF"/>
                <w:kern w:val="0"/>
                <w:sz w:val="24"/>
                <w:szCs w:val="24"/>
                <w:shd w:val="clear" w:color="auto" w:fill="FFFFFF"/>
                <w:lang w:bidi="ar"/>
              </w:rPr>
              <w:t>重</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9.4</w:t>
            </w:r>
            <w:r>
              <w:rPr>
                <w:rStyle w:val="15"/>
                <w:rFonts w:hint="eastAsia" w:ascii="宋体" w:hAnsi="宋体" w:eastAsia="宋体" w:cs="宋体"/>
                <w:b w:val="0"/>
                <w:bCs w:val="0"/>
                <w:color w:val="2F5597" w:themeColor="accent1" w:themeShade="BF"/>
                <w:kern w:val="0"/>
                <w:sz w:val="24"/>
                <w:szCs w:val="24"/>
                <w:shd w:val="clear" w:color="auto" w:fill="FFFFFF"/>
                <w:lang w:bidi="ar"/>
              </w:rPr>
              <w:t>kg</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毛重</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11kg</w:t>
            </w:r>
          </w:p>
        </w:tc>
      </w:tr>
    </w:tbl>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outlineLvl w:val="9"/>
        <w:rPr>
          <w:rFonts w:hint="eastAsia" w:ascii="宋体" w:hAnsi="宋体" w:cs="Times New Roman"/>
          <w:b/>
          <w:color w:val="2F5597" w:themeColor="accent1" w:themeShade="BF"/>
          <w:kern w:val="2"/>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宋体" w:hAnsi="宋体" w:cs="Times New Roman"/>
          <w:b/>
          <w:color w:val="2F5597" w:themeColor="accent1" w:themeShade="BF"/>
          <w:kern w:val="2"/>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4、装箱清单</w:t>
      </w:r>
    </w:p>
    <w:tbl>
      <w:tblPr>
        <w:tblStyle w:val="12"/>
        <w:tblW w:w="8581"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3736"/>
        <w:gridCol w:w="4845"/>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736"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center"/>
              <w:textAlignment w:val="auto"/>
              <w:outlineLvl w:val="9"/>
              <w:rPr>
                <w:rFonts w:hint="eastAsia" w:ascii="宋体" w:hAnsi="宋体" w:eastAsia="宋体" w:cs="Times New Roman"/>
                <w:color w:val="2F5597" w:themeColor="accent1" w:themeShade="BF"/>
                <w:sz w:val="24"/>
                <w:szCs w:val="24"/>
                <w:lang w:val="en-US" w:eastAsia="zh-CN"/>
              </w:rPr>
            </w:pPr>
            <w:r>
              <w:rPr>
                <w:rFonts w:hint="eastAsia" w:ascii="宋体" w:hAnsi="宋体" w:cs="Times New Roman"/>
                <w:color w:val="2F5597" w:themeColor="accent1" w:themeShade="BF"/>
                <w:sz w:val="24"/>
                <w:szCs w:val="24"/>
                <w:lang w:val="en-US" w:eastAsia="zh-CN"/>
              </w:rPr>
              <w:t>名称</w:t>
            </w:r>
          </w:p>
        </w:tc>
        <w:tc>
          <w:tcPr>
            <w:tcW w:w="4845"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center"/>
              <w:textAlignment w:val="auto"/>
              <w:outlineLvl w:val="9"/>
              <w:rPr>
                <w:rFonts w:hint="eastAsia" w:ascii="宋体" w:hAnsi="宋体" w:eastAsia="宋体" w:cs="Times New Roman"/>
                <w:color w:val="2F5597" w:themeColor="accent1" w:themeShade="BF"/>
                <w:sz w:val="24"/>
                <w:szCs w:val="24"/>
                <w:lang w:val="en-US" w:eastAsia="zh-CN"/>
              </w:rPr>
            </w:pPr>
            <w:r>
              <w:rPr>
                <w:rFonts w:hint="eastAsia" w:ascii="宋体" w:hAnsi="宋体" w:cs="Times New Roman"/>
                <w:color w:val="2F5597" w:themeColor="accent1" w:themeShade="BF"/>
                <w:sz w:val="24"/>
                <w:szCs w:val="24"/>
                <w:lang w:val="en-US" w:eastAsia="zh-CN"/>
              </w:rPr>
              <w:t>数量</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736"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center"/>
              <w:textAlignment w:val="auto"/>
              <w:outlineLvl w:val="9"/>
              <w:rPr>
                <w:rFonts w:hint="eastAsia" w:ascii="宋体" w:hAnsi="宋体" w:eastAsia="宋体" w:cs="Times New Roman"/>
                <w:color w:val="2F5597" w:themeColor="accent1" w:themeShade="BF"/>
                <w:sz w:val="24"/>
                <w:szCs w:val="24"/>
                <w:lang w:val="en-US" w:eastAsia="zh-CN"/>
              </w:rPr>
            </w:pPr>
            <w:r>
              <w:rPr>
                <w:rFonts w:hint="eastAsia" w:ascii="宋体" w:hAnsi="宋体" w:cs="Times New Roman"/>
                <w:color w:val="2F5597" w:themeColor="accent1" w:themeShade="BF"/>
                <w:sz w:val="24"/>
                <w:szCs w:val="24"/>
                <w:lang w:val="en-US" w:eastAsia="zh-CN"/>
              </w:rPr>
              <w:t>隔膜泵</w:t>
            </w:r>
          </w:p>
        </w:tc>
        <w:tc>
          <w:tcPr>
            <w:tcW w:w="4845"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center"/>
              <w:textAlignment w:val="auto"/>
              <w:outlineLvl w:val="9"/>
              <w:rPr>
                <w:rFonts w:hint="eastAsia" w:ascii="宋体" w:hAnsi="宋体" w:eastAsia="宋体" w:cs="Times New Roman"/>
                <w:color w:val="2F5597" w:themeColor="accent1" w:themeShade="BF"/>
                <w:sz w:val="24"/>
                <w:szCs w:val="24"/>
                <w:lang w:val="en-US" w:eastAsia="zh-CN"/>
              </w:rPr>
            </w:pPr>
            <w:r>
              <w:rPr>
                <w:rFonts w:hint="eastAsia" w:ascii="宋体" w:hAnsi="宋体" w:cs="Times New Roman"/>
                <w:color w:val="2F5597" w:themeColor="accent1" w:themeShade="BF"/>
                <w:sz w:val="24"/>
                <w:szCs w:val="24"/>
                <w:lang w:val="en-US" w:eastAsia="zh-CN"/>
              </w:rPr>
              <w:t>1台</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736"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center"/>
              <w:textAlignment w:val="auto"/>
              <w:outlineLvl w:val="9"/>
              <w:rPr>
                <w:rFonts w:hint="eastAsia" w:ascii="宋体" w:hAnsi="宋体" w:eastAsia="宋体" w:cs="Times New Roman"/>
                <w:color w:val="2F5597" w:themeColor="accent1" w:themeShade="BF"/>
                <w:sz w:val="24"/>
                <w:szCs w:val="24"/>
                <w:lang w:val="en-US" w:eastAsia="zh-CN"/>
              </w:rPr>
            </w:pPr>
            <w:r>
              <w:rPr>
                <w:rFonts w:hint="eastAsia" w:ascii="宋体" w:hAnsi="宋体" w:cs="Times New Roman"/>
                <w:color w:val="2F5597" w:themeColor="accent1" w:themeShade="BF"/>
                <w:sz w:val="24"/>
                <w:szCs w:val="24"/>
                <w:lang w:val="en-US" w:eastAsia="zh-CN"/>
              </w:rPr>
              <w:t>电源线</w:t>
            </w:r>
          </w:p>
        </w:tc>
        <w:tc>
          <w:tcPr>
            <w:tcW w:w="4845" w:type="dxa"/>
            <w:tcBorders>
              <w:tl2br w:val="nil"/>
              <w:tr2bl w:val="nil"/>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center"/>
              <w:textAlignment w:val="auto"/>
              <w:outlineLvl w:val="9"/>
              <w:rPr>
                <w:rFonts w:hint="eastAsia" w:ascii="宋体" w:hAnsi="宋体" w:eastAsia="宋体" w:cs="Times New Roman"/>
                <w:color w:val="2F5597" w:themeColor="accent1" w:themeShade="BF"/>
                <w:sz w:val="24"/>
                <w:szCs w:val="24"/>
                <w:lang w:val="en-US" w:eastAsia="zh-CN"/>
              </w:rPr>
            </w:pPr>
            <w:r>
              <w:rPr>
                <w:rFonts w:hint="eastAsia" w:ascii="宋体" w:hAnsi="宋体" w:cs="Times New Roman"/>
                <w:color w:val="2F5597" w:themeColor="accent1" w:themeShade="BF"/>
                <w:sz w:val="24"/>
                <w:szCs w:val="24"/>
                <w:lang w:val="en-US" w:eastAsia="zh-CN"/>
              </w:rPr>
              <w:t>1根</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7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center"/>
              <w:textAlignment w:val="auto"/>
              <w:outlineLvl w:val="9"/>
              <w:rPr>
                <w:rFonts w:hint="eastAsia" w:ascii="宋体" w:hAnsi="宋体" w:eastAsia="宋体" w:cs="Times New Roman"/>
                <w:color w:val="2F5597" w:themeColor="accent1" w:themeShade="BF"/>
                <w:sz w:val="24"/>
                <w:szCs w:val="24"/>
                <w:lang w:val="en-US" w:eastAsia="zh-CN"/>
              </w:rPr>
            </w:pPr>
            <w:r>
              <w:rPr>
                <w:rFonts w:hint="eastAsia" w:ascii="宋体" w:hAnsi="宋体" w:cs="Times New Roman"/>
                <w:color w:val="2F5597" w:themeColor="accent1" w:themeShade="BF"/>
                <w:sz w:val="24"/>
                <w:szCs w:val="24"/>
                <w:lang w:val="en-US" w:eastAsia="zh-CN"/>
              </w:rPr>
              <w:t>合格证（含保修卡）</w:t>
            </w:r>
          </w:p>
        </w:tc>
        <w:tc>
          <w:tcPr>
            <w:tcW w:w="48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center"/>
              <w:textAlignment w:val="auto"/>
              <w:outlineLvl w:val="9"/>
              <w:rPr>
                <w:rFonts w:hint="eastAsia" w:ascii="宋体" w:hAnsi="宋体" w:eastAsia="宋体" w:cs="Times New Roman"/>
                <w:color w:val="2F5597" w:themeColor="accent1" w:themeShade="BF"/>
                <w:sz w:val="24"/>
                <w:szCs w:val="24"/>
                <w:lang w:val="en-US" w:eastAsia="zh-CN"/>
              </w:rPr>
            </w:pPr>
            <w:r>
              <w:rPr>
                <w:rFonts w:hint="eastAsia" w:ascii="宋体" w:hAnsi="宋体" w:cs="Times New Roman"/>
                <w:color w:val="2F5597" w:themeColor="accent1" w:themeShade="BF"/>
                <w:sz w:val="24"/>
                <w:szCs w:val="24"/>
                <w:lang w:val="en-US" w:eastAsia="zh-CN"/>
              </w:rPr>
              <w:t>1份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7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center"/>
              <w:textAlignment w:val="auto"/>
              <w:outlineLvl w:val="9"/>
              <w:rPr>
                <w:rFonts w:hint="eastAsia" w:ascii="宋体" w:hAnsi="宋体" w:eastAsia="宋体" w:cs="Times New Roman"/>
                <w:color w:val="2F5597" w:themeColor="accent1" w:themeShade="BF"/>
                <w:sz w:val="24"/>
                <w:szCs w:val="24"/>
                <w:lang w:val="en-US" w:eastAsia="zh-CN"/>
              </w:rPr>
            </w:pPr>
            <w:r>
              <w:rPr>
                <w:rFonts w:hint="eastAsia" w:ascii="宋体" w:hAnsi="宋体" w:cs="Times New Roman"/>
                <w:color w:val="2F5597" w:themeColor="accent1" w:themeShade="BF"/>
                <w:sz w:val="24"/>
                <w:szCs w:val="24"/>
                <w:lang w:val="en-US" w:eastAsia="zh-CN"/>
              </w:rPr>
              <w:t>说明书</w:t>
            </w:r>
          </w:p>
        </w:tc>
        <w:tc>
          <w:tcPr>
            <w:tcW w:w="48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center"/>
              <w:textAlignment w:val="auto"/>
              <w:outlineLvl w:val="9"/>
              <w:rPr>
                <w:rFonts w:hint="eastAsia" w:ascii="宋体" w:hAnsi="宋体" w:eastAsia="宋体" w:cs="Times New Roman"/>
                <w:color w:val="2F5597" w:themeColor="accent1" w:themeShade="BF"/>
                <w:sz w:val="24"/>
                <w:szCs w:val="24"/>
                <w:lang w:val="en-US" w:eastAsia="zh-CN"/>
              </w:rPr>
            </w:pPr>
            <w:r>
              <w:rPr>
                <w:rFonts w:hint="eastAsia" w:ascii="宋体" w:hAnsi="宋体" w:cs="Times New Roman"/>
                <w:color w:val="2F5597" w:themeColor="accent1" w:themeShade="BF"/>
                <w:sz w:val="24"/>
                <w:szCs w:val="24"/>
                <w:lang w:val="en-US" w:eastAsia="zh-CN"/>
              </w:rPr>
              <w:t>1份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7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center"/>
              <w:textAlignment w:val="auto"/>
              <w:outlineLvl w:val="9"/>
              <w:rPr>
                <w:rFonts w:hint="eastAsia" w:ascii="宋体" w:hAnsi="宋体" w:cs="Times New Roman"/>
                <w:color w:val="2F5597" w:themeColor="accent1" w:themeShade="BF"/>
                <w:sz w:val="24"/>
                <w:szCs w:val="24"/>
                <w:lang w:val="en-US" w:eastAsia="zh-CN"/>
              </w:rPr>
            </w:pPr>
            <w:r>
              <w:rPr>
                <w:rFonts w:hint="eastAsia" w:ascii="宋体" w:hAnsi="宋体" w:cs="Times New Roman"/>
                <w:color w:val="2F5597" w:themeColor="accent1" w:themeShade="BF"/>
                <w:sz w:val="24"/>
                <w:szCs w:val="24"/>
                <w:lang w:val="en-US" w:eastAsia="zh-CN"/>
              </w:rPr>
              <w:t>橡胶管</w:t>
            </w:r>
          </w:p>
        </w:tc>
        <w:tc>
          <w:tcPr>
            <w:tcW w:w="48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center"/>
              <w:textAlignment w:val="auto"/>
              <w:outlineLvl w:val="9"/>
              <w:rPr>
                <w:rFonts w:hint="eastAsia" w:ascii="宋体" w:hAnsi="宋体" w:cs="Times New Roman"/>
                <w:color w:val="2F5597" w:themeColor="accent1" w:themeShade="BF"/>
                <w:sz w:val="24"/>
                <w:szCs w:val="24"/>
                <w:lang w:val="en-US" w:eastAsia="zh-CN"/>
              </w:rPr>
            </w:pPr>
            <w:r>
              <w:rPr>
                <w:rFonts w:hint="eastAsia" w:ascii="宋体" w:hAnsi="宋体" w:cs="Times New Roman"/>
                <w:color w:val="2F5597" w:themeColor="accent1" w:themeShade="BF"/>
                <w:sz w:val="24"/>
                <w:szCs w:val="24"/>
                <w:lang w:val="en-US" w:eastAsia="zh-CN"/>
              </w:rPr>
              <w:t>1根</w:t>
            </w:r>
          </w:p>
        </w:tc>
      </w:tr>
    </w:tbl>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outlineLvl w:val="9"/>
        <w:rPr>
          <w:rFonts w:hint="eastAsia" w:ascii="宋体" w:hAnsi="宋体" w:cs="Times New Roman"/>
          <w:b/>
          <w:color w:val="2F5597" w:themeColor="accent1" w:themeShade="BF"/>
          <w:kern w:val="2"/>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p>
    <w:p>
      <w:pPr>
        <w:pStyle w:val="10"/>
        <w:shd w:val="clear" w:color="auto" w:fill="FFFFFF"/>
        <w:spacing w:before="0" w:beforeAutospacing="0" w:after="0" w:afterAutospacing="0" w:line="645" w:lineRule="atLeast"/>
        <w:rPr>
          <w:rFonts w:ascii="微软雅黑" w:hAnsi="微软雅黑" w:eastAsia="微软雅黑" w:cs="微软雅黑"/>
          <w:color w:val="474747"/>
          <w:shd w:val="clear" w:color="auto" w:fill="FFFFFF"/>
        </w:rPr>
      </w:pP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646E22"/>
    <w:multiLevelType w:val="singleLevel"/>
    <w:tmpl w:val="3A646E22"/>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0A30B6"/>
    <w:rsid w:val="00000422"/>
    <w:rsid w:val="0002414F"/>
    <w:rsid w:val="00091A92"/>
    <w:rsid w:val="000A30B6"/>
    <w:rsid w:val="000F0EE7"/>
    <w:rsid w:val="001C2F0D"/>
    <w:rsid w:val="0020067A"/>
    <w:rsid w:val="00227827"/>
    <w:rsid w:val="00262F28"/>
    <w:rsid w:val="002B6FFF"/>
    <w:rsid w:val="002C777E"/>
    <w:rsid w:val="002F2DF2"/>
    <w:rsid w:val="002F500E"/>
    <w:rsid w:val="002F74BD"/>
    <w:rsid w:val="00343CBD"/>
    <w:rsid w:val="003775A9"/>
    <w:rsid w:val="003D498D"/>
    <w:rsid w:val="004A2EE0"/>
    <w:rsid w:val="004E7E09"/>
    <w:rsid w:val="00535C95"/>
    <w:rsid w:val="0055160C"/>
    <w:rsid w:val="00580C1D"/>
    <w:rsid w:val="00596893"/>
    <w:rsid w:val="005A5BBC"/>
    <w:rsid w:val="0069114D"/>
    <w:rsid w:val="00741072"/>
    <w:rsid w:val="007650E0"/>
    <w:rsid w:val="007A51F4"/>
    <w:rsid w:val="00854961"/>
    <w:rsid w:val="008B2ECB"/>
    <w:rsid w:val="00955DE4"/>
    <w:rsid w:val="009711B0"/>
    <w:rsid w:val="0098299C"/>
    <w:rsid w:val="00990FAD"/>
    <w:rsid w:val="009E7CF6"/>
    <w:rsid w:val="00A4672B"/>
    <w:rsid w:val="00A94E0D"/>
    <w:rsid w:val="00AA4A1B"/>
    <w:rsid w:val="00AA5CBF"/>
    <w:rsid w:val="00B61697"/>
    <w:rsid w:val="00B839ED"/>
    <w:rsid w:val="00BD42F1"/>
    <w:rsid w:val="00C47428"/>
    <w:rsid w:val="00C83139"/>
    <w:rsid w:val="00DA0404"/>
    <w:rsid w:val="00DA6A09"/>
    <w:rsid w:val="00E15CAB"/>
    <w:rsid w:val="00E2271A"/>
    <w:rsid w:val="00E54BE6"/>
    <w:rsid w:val="00E610B3"/>
    <w:rsid w:val="00E62DD8"/>
    <w:rsid w:val="00E900EE"/>
    <w:rsid w:val="00EC783E"/>
    <w:rsid w:val="00EF22FA"/>
    <w:rsid w:val="00EF585C"/>
    <w:rsid w:val="00FE197F"/>
    <w:rsid w:val="017212D3"/>
    <w:rsid w:val="02AA71DB"/>
    <w:rsid w:val="02D933F4"/>
    <w:rsid w:val="02DE7C7D"/>
    <w:rsid w:val="02F87F3E"/>
    <w:rsid w:val="03F258F4"/>
    <w:rsid w:val="04E918A9"/>
    <w:rsid w:val="052D17F5"/>
    <w:rsid w:val="0692734F"/>
    <w:rsid w:val="07553E41"/>
    <w:rsid w:val="091F1204"/>
    <w:rsid w:val="0A184A29"/>
    <w:rsid w:val="0A366F57"/>
    <w:rsid w:val="0A965B96"/>
    <w:rsid w:val="0C502990"/>
    <w:rsid w:val="0DD506AB"/>
    <w:rsid w:val="0DE465F0"/>
    <w:rsid w:val="10C02CE0"/>
    <w:rsid w:val="10E60B82"/>
    <w:rsid w:val="11385EB2"/>
    <w:rsid w:val="117D1E52"/>
    <w:rsid w:val="12F323D9"/>
    <w:rsid w:val="13377D20"/>
    <w:rsid w:val="162626F1"/>
    <w:rsid w:val="163338FF"/>
    <w:rsid w:val="167836D1"/>
    <w:rsid w:val="16855545"/>
    <w:rsid w:val="16A71820"/>
    <w:rsid w:val="18711AC3"/>
    <w:rsid w:val="1886336C"/>
    <w:rsid w:val="1976192B"/>
    <w:rsid w:val="1A4C7833"/>
    <w:rsid w:val="1AB80B3F"/>
    <w:rsid w:val="1B871C86"/>
    <w:rsid w:val="1C4A28F1"/>
    <w:rsid w:val="1C8D4EFF"/>
    <w:rsid w:val="1E486378"/>
    <w:rsid w:val="1F995798"/>
    <w:rsid w:val="2159429D"/>
    <w:rsid w:val="216A23E2"/>
    <w:rsid w:val="22E601DB"/>
    <w:rsid w:val="23243285"/>
    <w:rsid w:val="241D3C4F"/>
    <w:rsid w:val="246A0583"/>
    <w:rsid w:val="24AE6CFC"/>
    <w:rsid w:val="26A00DE8"/>
    <w:rsid w:val="295A600F"/>
    <w:rsid w:val="2A602115"/>
    <w:rsid w:val="2A847618"/>
    <w:rsid w:val="2AC31D90"/>
    <w:rsid w:val="2BE36FED"/>
    <w:rsid w:val="2C2B4AD0"/>
    <w:rsid w:val="2C936415"/>
    <w:rsid w:val="2CBC35B2"/>
    <w:rsid w:val="2D270418"/>
    <w:rsid w:val="2D9E504D"/>
    <w:rsid w:val="2DBB4423"/>
    <w:rsid w:val="2E5E5B1C"/>
    <w:rsid w:val="30667F5E"/>
    <w:rsid w:val="32494755"/>
    <w:rsid w:val="32824277"/>
    <w:rsid w:val="34121BAC"/>
    <w:rsid w:val="348346E6"/>
    <w:rsid w:val="348E7F12"/>
    <w:rsid w:val="35B92EB0"/>
    <w:rsid w:val="36585CBC"/>
    <w:rsid w:val="36E10A24"/>
    <w:rsid w:val="3A045A6B"/>
    <w:rsid w:val="3A542ACC"/>
    <w:rsid w:val="3ABF1760"/>
    <w:rsid w:val="3C5E63A4"/>
    <w:rsid w:val="3DA6127B"/>
    <w:rsid w:val="3DEB6E30"/>
    <w:rsid w:val="3E2B5E06"/>
    <w:rsid w:val="40764144"/>
    <w:rsid w:val="410B44C7"/>
    <w:rsid w:val="43EA5F2F"/>
    <w:rsid w:val="442711AA"/>
    <w:rsid w:val="450B7CFD"/>
    <w:rsid w:val="498B526A"/>
    <w:rsid w:val="4A527F2C"/>
    <w:rsid w:val="4AA4627F"/>
    <w:rsid w:val="4ADC76DB"/>
    <w:rsid w:val="4CA81950"/>
    <w:rsid w:val="4D4E77F2"/>
    <w:rsid w:val="4D753E9D"/>
    <w:rsid w:val="4E931B10"/>
    <w:rsid w:val="4FD73045"/>
    <w:rsid w:val="505B1B7F"/>
    <w:rsid w:val="50F86E5E"/>
    <w:rsid w:val="51C771E3"/>
    <w:rsid w:val="51F9487C"/>
    <w:rsid w:val="52EE746C"/>
    <w:rsid w:val="53FD0B78"/>
    <w:rsid w:val="5452446D"/>
    <w:rsid w:val="563C7D3B"/>
    <w:rsid w:val="567A4548"/>
    <w:rsid w:val="576F688D"/>
    <w:rsid w:val="5826783E"/>
    <w:rsid w:val="58926505"/>
    <w:rsid w:val="58C6092D"/>
    <w:rsid w:val="58F34817"/>
    <w:rsid w:val="591C6583"/>
    <w:rsid w:val="594D1214"/>
    <w:rsid w:val="59AB3574"/>
    <w:rsid w:val="5BDA755D"/>
    <w:rsid w:val="5DDC6E97"/>
    <w:rsid w:val="5E386BDA"/>
    <w:rsid w:val="607225C9"/>
    <w:rsid w:val="608B6872"/>
    <w:rsid w:val="61FA2450"/>
    <w:rsid w:val="62375694"/>
    <w:rsid w:val="624F31B6"/>
    <w:rsid w:val="626F460D"/>
    <w:rsid w:val="62737F03"/>
    <w:rsid w:val="628167EA"/>
    <w:rsid w:val="62BD7680"/>
    <w:rsid w:val="63B80222"/>
    <w:rsid w:val="64A3760F"/>
    <w:rsid w:val="64BB3B0A"/>
    <w:rsid w:val="65173864"/>
    <w:rsid w:val="67074C35"/>
    <w:rsid w:val="67B86FD5"/>
    <w:rsid w:val="68CC736B"/>
    <w:rsid w:val="69A05A18"/>
    <w:rsid w:val="6AB4227F"/>
    <w:rsid w:val="6B3B6611"/>
    <w:rsid w:val="6B5251F4"/>
    <w:rsid w:val="6B6C7258"/>
    <w:rsid w:val="6BA7011A"/>
    <w:rsid w:val="6DFB560B"/>
    <w:rsid w:val="6F17421F"/>
    <w:rsid w:val="6F7B3153"/>
    <w:rsid w:val="6F975B11"/>
    <w:rsid w:val="70C42DFA"/>
    <w:rsid w:val="71E561F0"/>
    <w:rsid w:val="73587C07"/>
    <w:rsid w:val="737F1A45"/>
    <w:rsid w:val="73974732"/>
    <w:rsid w:val="749F4067"/>
    <w:rsid w:val="74A64C8E"/>
    <w:rsid w:val="74EC2629"/>
    <w:rsid w:val="75AD4579"/>
    <w:rsid w:val="75EA64FF"/>
    <w:rsid w:val="76E353C5"/>
    <w:rsid w:val="77C15694"/>
    <w:rsid w:val="78323E75"/>
    <w:rsid w:val="78D701B7"/>
    <w:rsid w:val="78F84331"/>
    <w:rsid w:val="79FB6B36"/>
    <w:rsid w:val="7A61311F"/>
    <w:rsid w:val="7A664B08"/>
    <w:rsid w:val="7AA2317C"/>
    <w:rsid w:val="7B965710"/>
    <w:rsid w:val="7CAD3559"/>
    <w:rsid w:val="7CE6522A"/>
    <w:rsid w:val="7D806002"/>
    <w:rsid w:val="7FB83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C2295F-ED8A-4A22-AF96-184131A1B8C5}">
  <ds:schemaRefs/>
</ds:datastoreItem>
</file>

<file path=docProps/app.xml><?xml version="1.0" encoding="utf-8"?>
<Properties xmlns="http://schemas.openxmlformats.org/officeDocument/2006/extended-properties" xmlns:vt="http://schemas.openxmlformats.org/officeDocument/2006/docPropsVTypes">
  <Template>Normal</Template>
  <Pages>3</Pages>
  <Words>772</Words>
  <Characters>881</Characters>
  <Lines>6</Lines>
  <Paragraphs>1</Paragraphs>
  <TotalTime>0</TotalTime>
  <ScaleCrop>false</ScaleCrop>
  <LinksUpToDate>false</LinksUpToDate>
  <CharactersWithSpaces>902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2024-05-15T01:13:06Z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9E85179044C746A6ABE7ADE53BEC706E</vt:lpwstr>
  </property>
</Properties>
</file>