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w:drawing>
          <wp:anchor distT="0" distB="0" distL="114300" distR="114300" simplePos="0" relativeHeight="251663360" behindDoc="0" locked="0" layoutInCell="1" allowOverlap="1">
            <wp:simplePos x="0" y="0"/>
            <wp:positionH relativeFrom="column">
              <wp:posOffset>1190625</wp:posOffset>
            </wp:positionH>
            <wp:positionV relativeFrom="paragraph">
              <wp:posOffset>66675</wp:posOffset>
            </wp:positionV>
            <wp:extent cx="2957830" cy="2957830"/>
            <wp:effectExtent l="0" t="0" r="13970" b="13970"/>
            <wp:wrapTopAndBottom/>
            <wp:docPr id="2" name="图片 2" descr="JY88-I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Y88-IIN"/>
                    <pic:cNvPicPr>
                      <a:picLocks noChangeAspect="1"/>
                    </pic:cNvPicPr>
                  </pic:nvPicPr>
                  <pic:blipFill>
                    <a:blip r:embed="rId6"/>
                    <a:stretch>
                      <a:fillRect/>
                    </a:stretch>
                  </pic:blipFill>
                  <pic:spPr>
                    <a:xfrm>
                      <a:off x="0" y="0"/>
                      <a:ext cx="2957830" cy="2957830"/>
                    </a:xfrm>
                    <a:prstGeom prst="rect">
                      <a:avLst/>
                    </a:prstGeom>
                  </pic:spPr>
                </pic:pic>
              </a:graphicData>
            </a:graphic>
          </wp:anchor>
        </w:drawing>
      </w:r>
      <w:r>
        <w:rPr>
          <w:sz w:val="30"/>
        </w:rPr>
        <mc:AlternateContent>
          <mc:Choice Requires="wps">
            <w:drawing>
              <wp:anchor distT="0" distB="0" distL="114300" distR="114300" simplePos="0" relativeHeight="251662336" behindDoc="0" locked="0" layoutInCell="1" allowOverlap="1">
                <wp:simplePos x="0" y="0"/>
                <wp:positionH relativeFrom="column">
                  <wp:posOffset>1647825</wp:posOffset>
                </wp:positionH>
                <wp:positionV relativeFrom="paragraph">
                  <wp:posOffset>3029585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JY88-IIN超声波细胞破碎机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9.75pt;margin-top:238.55pt;height:144pt;width:144pt;mso-wrap-distance-bottom:0pt;mso-wrap-distance-top:0pt;mso-wrap-style:none;z-index:251662336;mso-width-relative:page;mso-height-relative:page;" filled="f" stroked="f" coordsize="21600,21600" o:gfxdata="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N52wraAAAACwEAAA8AAAAAAAAAAQAgAAAAIgAAAGRycy9kb3du&#10;cmV2LnhtbFBLAQIUABQAAAAIAIdO4kAifS+2NgIAAGUEAAAOAAAAAAAAAAEAIAAAACkBAABkcnMv&#10;ZTJvRG9jLnhtbFBLBQYAAAAABgAGAFkBAADRBQ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JY88-IIN超声波细胞破碎机</w:t>
                      </w:r>
                    </w:p>
                  </w:txbxContent>
                </v:textbox>
                <w10:wrap type="topAndBottom"/>
              </v:shape>
            </w:pict>
          </mc:Fallback>
        </mc:AlternateConten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-39370</wp:posOffset>
                </wp:positionH>
                <wp:positionV relativeFrom="paragraph">
                  <wp:posOffset>371475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pt;margin-top:29.25pt;height:0.3pt;width:415.15pt;z-index:-251655168;mso-width-relative:page;mso-height-relative:page;" filled="f" stroked="t" coordsize="21600,21600" o:gfxdata="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7EGD3XAAAACA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adjustRightInd w:val="0"/>
        <w:spacing w:line="360" w:lineRule="auto"/>
        <w:ind w:firstLine="480" w:firstLineChars="200"/>
        <w:rPr>
          <w:color w:val="2F5597" w:themeColor="accent1" w:themeShade="BF"/>
          <w:sz w:val="24"/>
          <w:szCs w:val="24"/>
        </w:rPr>
      </w:pPr>
      <w:r>
        <w:rPr>
          <w:rFonts w:hint="eastAsia"/>
          <w:color w:val="2F5597" w:themeColor="accent1" w:themeShade="BF"/>
          <w:sz w:val="24"/>
          <w:szCs w:val="24"/>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-48895</wp:posOffset>
                </wp:positionH>
                <wp:positionV relativeFrom="paragraph">
                  <wp:posOffset>346710</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85pt;margin-top:27.3pt;height:0.3pt;width:416.65pt;z-index:-251656192;mso-width-relative:page;mso-height-relative:page;" filled="f" stroked="t" coordsize="21600,21600" o:gfxdata="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yVge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功能全，外观美，性能可靠，采用最新单片机技术+4.3寸TFT电容触摸屏控制（可以选配7寸），可选配电脑通讯或数据打印等功能</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智能化程度高，中央微机集中控制，超声时间，功率可从1%-100%设定</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配套隔音箱一台，降低噪音百分之七十以上</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配套美铝7075换能器+高纯度钛合金变幅杆一套，工业型的变幅杆可连续实现超声一小时以上（是要高纯度的钛合金才可以实现）</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3"/>
        <w:tblW w:w="8459"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5222"/>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op w:val="single" w:color="002060" w:sz="4" w:space="0"/>
              <w:left w:val="single" w:color="002060" w:sz="4" w:space="0"/>
              <w:bottom w:val="single" w:color="002060"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型号</w:t>
            </w:r>
          </w:p>
        </w:tc>
        <w:tc>
          <w:tcPr>
            <w:tcW w:w="5222" w:type="dxa"/>
            <w:tcBorders>
              <w:top w:val="single" w:color="002060" w:sz="4" w:space="0"/>
              <w:left w:val="single" w:color="002060" w:sz="4" w:space="0"/>
              <w:bottom w:val="single" w:color="002060" w:sz="4" w:space="0"/>
              <w:right w:val="single" w:color="002060" w:sz="4" w:space="0"/>
              <w:insideV w:val="single" w:sz="8" w:space="0"/>
              <w:tl2br w:val="nil"/>
              <w:tr2bl w:val="nil"/>
            </w:tcBorders>
            <w:shd w:val="clear" w:color="auto" w:fill="FFFFFF" w:themeFill="background1"/>
            <w:vAlign w:val="center"/>
          </w:tcPr>
          <w:p>
            <w:pPr>
              <w:widowControl/>
              <w:shd w:val="clear" w:color="auto" w:fill="FFFFFF"/>
              <w:spacing w:before="0" w:after="0"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JY88-IIN</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op w:val="single" w:color="002060" w:sz="4" w:space="0"/>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5222" w:type="dxa"/>
            <w:tcBorders>
              <w:top w:val="single" w:color="002060" w:sz="4" w:space="0"/>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fldChar w:fldCharType="begin"/>
            </w:r>
            <w:r>
              <w:rPr>
                <w:rStyle w:val="15"/>
                <w:rFonts w:hint="eastAsia" w:ascii="宋体" w:hAnsi="宋体" w:eastAsia="宋体" w:cs="宋体"/>
                <w:b w:val="0"/>
                <w:bCs w:val="0"/>
                <w:color w:val="2F5597" w:themeColor="accent1" w:themeShade="BF"/>
                <w:kern w:val="0"/>
                <w:sz w:val="24"/>
                <w:szCs w:val="24"/>
                <w:shd w:val="clear" w:color="auto" w:fill="FFFFFF"/>
                <w:lang w:bidi="ar"/>
              </w:rPr>
              <w:instrText xml:space="preserve"> HYPERLINK "javascript:void(0)" </w:instrText>
            </w:r>
            <w:r>
              <w:rPr>
                <w:rStyle w:val="15"/>
                <w:rFonts w:hint="eastAsia" w:ascii="宋体" w:hAnsi="宋体" w:eastAsia="宋体" w:cs="宋体"/>
                <w:b w:val="0"/>
                <w:bCs w:val="0"/>
                <w:color w:val="2F5597" w:themeColor="accent1" w:themeShade="BF"/>
                <w:kern w:val="0"/>
                <w:sz w:val="24"/>
                <w:szCs w:val="24"/>
                <w:shd w:val="clear" w:color="auto" w:fill="FFFFFF"/>
                <w:lang w:bidi="ar"/>
              </w:rPr>
              <w:fldChar w:fldCharType="separate"/>
            </w:r>
            <w:r>
              <w:rPr>
                <w:rStyle w:val="15"/>
                <w:rFonts w:hint="eastAsia" w:ascii="宋体" w:hAnsi="宋体" w:eastAsia="宋体" w:cs="宋体"/>
                <w:b w:val="0"/>
                <w:bCs w:val="0"/>
                <w:color w:val="2F5597" w:themeColor="accent1" w:themeShade="BF"/>
                <w:kern w:val="0"/>
                <w:sz w:val="24"/>
                <w:szCs w:val="24"/>
                <w:shd w:val="clear" w:color="auto" w:fill="FFFFFF"/>
                <w:lang w:bidi="ar"/>
              </w:rPr>
              <w:t>1008002001</w:t>
            </w:r>
            <w:r>
              <w:rPr>
                <w:rStyle w:val="15"/>
                <w:rFonts w:hint="eastAsia" w:ascii="宋体" w:hAnsi="宋体" w:eastAsia="宋体" w:cs="宋体"/>
                <w:b w:val="0"/>
                <w:bCs w:val="0"/>
                <w:color w:val="2F5597" w:themeColor="accent1" w:themeShade="BF"/>
                <w:kern w:val="0"/>
                <w:sz w:val="24"/>
                <w:szCs w:val="24"/>
                <w:shd w:val="clear" w:color="auto" w:fill="FFFFFF"/>
                <w:lang w:bidi="ar"/>
              </w:rPr>
              <w:fldChar w:fldCharType="end"/>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op w:val="single" w:color="002060" w:sz="4" w:space="0"/>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功率</w:t>
            </w:r>
          </w:p>
        </w:tc>
        <w:tc>
          <w:tcPr>
            <w:tcW w:w="5222" w:type="dxa"/>
            <w:tcBorders>
              <w:top w:val="single" w:color="002060" w:sz="4" w:space="0"/>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2.5-250W连续可调</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破碎容量</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0.1-300ML(需选配相应的变幅杆)</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显示方式</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真彩电容触摸屏显示</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单次超声时间</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0.1-99.9S</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单次间隙时间</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0.1-99.9S</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总时间（超声+间隙）</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1-99H59M59S</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频率范围</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20-25KHz</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温控范围</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0-100度（可选配低温恒温）</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报警功能</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时间、过载、空载、超温</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随机变幅杆</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Φ6(mm)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可选配变幅杆</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Φ2、3、6、8、10(mm)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数据储存</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20组</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电源（可选配110V)</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220V/110V/ 50Hz/60HZ</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89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仪器尺寸（深*宽*高）</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主机+换能器</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410*225*290</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,隔音箱</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290*280*490</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909"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r>
              <w:rPr>
                <w:rStyle w:val="15"/>
                <w:rFonts w:hint="eastAsia" w:ascii="宋体" w:hAnsi="宋体" w:eastAsia="宋体" w:cs="宋体"/>
                <w:b w:val="0"/>
                <w:bCs w:val="0"/>
                <w:color w:val="2F5597" w:themeColor="accent1" w:themeShade="BF"/>
                <w:kern w:val="0"/>
                <w:sz w:val="24"/>
                <w:szCs w:val="24"/>
                <w:shd w:val="clear" w:color="auto" w:fill="FFFFFF"/>
                <w:lang w:bidi="ar"/>
              </w:rPr>
              <w:t>（深*宽*高）</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主机+换能器</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470*305*430</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,隔音箱</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350*350*550</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净重</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20（kg）</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26（kg）</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控制方式</w:t>
            </w:r>
          </w:p>
        </w:tc>
        <w:tc>
          <w:tcPr>
            <w:tcW w:w="5222" w:type="dxa"/>
            <w:tcBorders>
              <w:tl2br w:val="nil"/>
              <w:tr2bl w:val="nil"/>
            </w:tcBorders>
            <w:shd w:val="clear" w:color="auto" w:fill="FFFFFF" w:themeFill="background1"/>
            <w:vAlign w:val="center"/>
          </w:tcPr>
          <w:p>
            <w:pPr>
              <w:widowControl/>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单片机+TFT触控</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可选配功能</w:t>
            </w:r>
          </w:p>
        </w:tc>
        <w:tc>
          <w:tcPr>
            <w:tcW w:w="5222" w:type="dxa"/>
            <w:tcBorders>
              <w:tl2br w:val="nil"/>
              <w:tr2bl w:val="nil"/>
            </w:tcBorders>
            <w:shd w:val="clear" w:color="auto" w:fill="FFFFFF" w:themeFill="background1"/>
            <w:vAlign w:val="center"/>
          </w:tcPr>
          <w:p>
            <w:pPr>
              <w:widowControl/>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电脑通讯+数据打印+隔音箱照明或灭菌</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语音报警和提示功能</w:t>
            </w:r>
          </w:p>
        </w:tc>
        <w:tc>
          <w:tcPr>
            <w:tcW w:w="5222" w:type="dxa"/>
            <w:tcBorders>
              <w:tl2br w:val="nil"/>
              <w:tr2bl w:val="nil"/>
            </w:tcBorders>
            <w:shd w:val="clear" w:color="auto" w:fill="FFFFFF" w:themeFill="background1"/>
            <w:vAlign w:val="center"/>
          </w:tcPr>
          <w:p>
            <w:pPr>
              <w:widowControl/>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有</w:t>
            </w:r>
          </w:p>
        </w:tc>
      </w:tr>
    </w:tbl>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p>
    <w:p>
      <w:pPr>
        <w:pStyle w:val="10"/>
        <w:numPr>
          <w:ilvl w:val="0"/>
          <w:numId w:val="2"/>
        </w:numPr>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可选配变幅杆</w:t>
      </w:r>
    </w:p>
    <w:p>
      <w:pPr>
        <w:pStyle w:val="10"/>
        <w:spacing w:before="0" w:beforeAutospacing="0" w:after="0" w:afterAutospacing="0" w:line="360" w:lineRule="auto"/>
        <w:ind w:firstLine="1200" w:firstLineChars="500"/>
        <w:rPr>
          <w:rFonts w:hint="eastAsia"/>
        </w:rPr>
      </w:pPr>
      <w:r>
        <w:drawing>
          <wp:inline distT="0" distB="0" distL="0" distR="0">
            <wp:extent cx="371475" cy="10953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371475" cy="1095375"/>
                    </a:xfrm>
                    <a:prstGeom prst="rect">
                      <a:avLst/>
                    </a:prstGeom>
                  </pic:spPr>
                </pic:pic>
              </a:graphicData>
            </a:graphic>
          </wp:inline>
        </w:drawing>
      </w:r>
      <w:r>
        <w:rPr>
          <w:rFonts w:hint="eastAsia"/>
        </w:rPr>
        <w:t xml:space="preserve">    </w:t>
      </w:r>
      <w:r>
        <w:drawing>
          <wp:inline distT="0" distB="0" distL="0" distR="0">
            <wp:extent cx="323850" cy="10858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323850" cy="1085850"/>
                    </a:xfrm>
                    <a:prstGeom prst="rect">
                      <a:avLst/>
                    </a:prstGeom>
                  </pic:spPr>
                </pic:pic>
              </a:graphicData>
            </a:graphic>
          </wp:inline>
        </w:drawing>
      </w:r>
      <w:r>
        <w:rPr>
          <w:rFonts w:hint="eastAsia"/>
        </w:rPr>
        <w:t xml:space="preserve">    </w:t>
      </w:r>
      <w:r>
        <w:drawing>
          <wp:inline distT="0" distB="0" distL="0" distR="0">
            <wp:extent cx="361950" cy="1066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361950" cy="1066800"/>
                    </a:xfrm>
                    <a:prstGeom prst="rect">
                      <a:avLst/>
                    </a:prstGeom>
                  </pic:spPr>
                </pic:pic>
              </a:graphicData>
            </a:graphic>
          </wp:inline>
        </w:drawing>
      </w:r>
      <w:r>
        <w:rPr>
          <w:rFonts w:hint="eastAsia"/>
        </w:rPr>
        <w:t xml:space="preserve">    </w:t>
      </w:r>
      <w:r>
        <w:drawing>
          <wp:inline distT="0" distB="0" distL="0" distR="0">
            <wp:extent cx="333375" cy="10763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333375" cy="1076325"/>
                    </a:xfrm>
                    <a:prstGeom prst="rect">
                      <a:avLst/>
                    </a:prstGeom>
                  </pic:spPr>
                </pic:pic>
              </a:graphicData>
            </a:graphic>
          </wp:inline>
        </w:drawing>
      </w:r>
      <w:r>
        <w:rPr>
          <w:rFonts w:hint="eastAsia"/>
        </w:rPr>
        <w:t xml:space="preserve">    </w:t>
      </w:r>
      <w:r>
        <w:drawing>
          <wp:inline distT="0" distB="0" distL="0" distR="0">
            <wp:extent cx="285750" cy="1104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
                    <a:stretch>
                      <a:fillRect/>
                    </a:stretch>
                  </pic:blipFill>
                  <pic:spPr>
                    <a:xfrm>
                      <a:off x="0" y="0"/>
                      <a:ext cx="285750" cy="1104900"/>
                    </a:xfrm>
                    <a:prstGeom prst="rect">
                      <a:avLst/>
                    </a:prstGeom>
                  </pic:spPr>
                </pic:pic>
              </a:graphicData>
            </a:graphic>
          </wp:inline>
        </w:drawing>
      </w:r>
      <w:r>
        <w:rPr>
          <w:rFonts w:hint="eastAsia"/>
        </w:rPr>
        <w:t xml:space="preserve">       </w:t>
      </w:r>
    </w:p>
    <w:p>
      <w:pPr>
        <w:pStyle w:val="10"/>
        <w:spacing w:before="0" w:beforeAutospacing="0" w:after="0" w:afterAutospacing="0" w:line="360" w:lineRule="auto"/>
        <w:ind w:firstLine="1200" w:firstLineChars="500"/>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rPr>
        <w:t xml:space="preserve">              </w:t>
      </w:r>
    </w:p>
    <w:tbl>
      <w:tblPr>
        <w:tblStyle w:val="12"/>
        <w:tblW w:w="81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2</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0.2-5</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②</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④</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1-70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⑤</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8</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20-200</w:t>
            </w:r>
          </w:p>
        </w:tc>
        <w:tc>
          <w:tcPr>
            <w:tcW w:w="2226"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1-85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⑥</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10</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30-300</w:t>
            </w:r>
          </w:p>
        </w:tc>
        <w:tc>
          <w:tcPr>
            <w:tcW w:w="2226"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1-90</w:t>
            </w:r>
          </w:p>
        </w:tc>
      </w:tr>
    </w:tbl>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5、</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2"/>
        <w:tblW w:w="7596"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019"/>
        <w:gridCol w:w="257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名称</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超声波发生器</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振动系统（换能器组件+6MM）</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隔音箱（另外包装）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升降台（在隔音箱内）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备用保险丝（电源线袋内）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使用说明书</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保修卡(含合格证)</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温度探头（电源线袋内）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sz w:val="18"/>
        <w:szCs w:val="18"/>
      </w:rPr>
    </w:pPr>
  </w:p>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B09E7"/>
    <w:multiLevelType w:val="singleLevel"/>
    <w:tmpl w:val="92CB09E7"/>
    <w:lvl w:ilvl="0" w:tentative="0">
      <w:start w:val="3"/>
      <w:numFmt w:val="decimal"/>
      <w:suff w:val="nothing"/>
      <w:lvlText w:val="%1、"/>
      <w:lvlJc w:val="left"/>
    </w:lvl>
  </w:abstractNum>
  <w:abstractNum w:abstractNumId="1">
    <w:nsid w:val="78CE6AC1"/>
    <w:multiLevelType w:val="singleLevel"/>
    <w:tmpl w:val="78CE6AC1"/>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65DEC"/>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8F01EF"/>
    <w:rsid w:val="00955DE4"/>
    <w:rsid w:val="009732F5"/>
    <w:rsid w:val="0098299C"/>
    <w:rsid w:val="00990FAD"/>
    <w:rsid w:val="009E7CF6"/>
    <w:rsid w:val="00A4672B"/>
    <w:rsid w:val="00A94E0D"/>
    <w:rsid w:val="00AA4A1B"/>
    <w:rsid w:val="00AA5CBF"/>
    <w:rsid w:val="00AB63A1"/>
    <w:rsid w:val="00AE59E4"/>
    <w:rsid w:val="00B61697"/>
    <w:rsid w:val="00B839ED"/>
    <w:rsid w:val="00BD42F1"/>
    <w:rsid w:val="00BF17F9"/>
    <w:rsid w:val="00C47428"/>
    <w:rsid w:val="00C83139"/>
    <w:rsid w:val="00CF6281"/>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82D1FB1"/>
    <w:rsid w:val="091F1204"/>
    <w:rsid w:val="0A184A29"/>
    <w:rsid w:val="0A366F57"/>
    <w:rsid w:val="0A965B96"/>
    <w:rsid w:val="10C02CE0"/>
    <w:rsid w:val="10E60B82"/>
    <w:rsid w:val="11385EB2"/>
    <w:rsid w:val="117D1E52"/>
    <w:rsid w:val="12F323D9"/>
    <w:rsid w:val="13377D20"/>
    <w:rsid w:val="14CE26A8"/>
    <w:rsid w:val="162626F1"/>
    <w:rsid w:val="163338FF"/>
    <w:rsid w:val="167836D1"/>
    <w:rsid w:val="16855545"/>
    <w:rsid w:val="16A71820"/>
    <w:rsid w:val="16B5494D"/>
    <w:rsid w:val="18711AC3"/>
    <w:rsid w:val="1886336C"/>
    <w:rsid w:val="1976192B"/>
    <w:rsid w:val="19C43640"/>
    <w:rsid w:val="1A4C7833"/>
    <w:rsid w:val="1AB80B3F"/>
    <w:rsid w:val="1B871C86"/>
    <w:rsid w:val="1C4A28F1"/>
    <w:rsid w:val="1C8D4EFF"/>
    <w:rsid w:val="1E486378"/>
    <w:rsid w:val="1F995798"/>
    <w:rsid w:val="2159429D"/>
    <w:rsid w:val="216A23E2"/>
    <w:rsid w:val="22CB26B9"/>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1C10D4"/>
    <w:rsid w:val="36585CBC"/>
    <w:rsid w:val="36E10A24"/>
    <w:rsid w:val="3A045A6B"/>
    <w:rsid w:val="3A542ACC"/>
    <w:rsid w:val="3ABF1760"/>
    <w:rsid w:val="3B74042F"/>
    <w:rsid w:val="3C5E63A4"/>
    <w:rsid w:val="3DA6127B"/>
    <w:rsid w:val="3DEB6E30"/>
    <w:rsid w:val="3E2B5E06"/>
    <w:rsid w:val="40764144"/>
    <w:rsid w:val="410B44C7"/>
    <w:rsid w:val="43EA5F2F"/>
    <w:rsid w:val="442711AA"/>
    <w:rsid w:val="485D55B6"/>
    <w:rsid w:val="498B526A"/>
    <w:rsid w:val="4A527F2C"/>
    <w:rsid w:val="4AA4627F"/>
    <w:rsid w:val="4ADC76DB"/>
    <w:rsid w:val="4CA81950"/>
    <w:rsid w:val="4D4E77F2"/>
    <w:rsid w:val="4D786247"/>
    <w:rsid w:val="4E931B10"/>
    <w:rsid w:val="4FD73045"/>
    <w:rsid w:val="51C771E3"/>
    <w:rsid w:val="51F9487C"/>
    <w:rsid w:val="52EE746C"/>
    <w:rsid w:val="5452446D"/>
    <w:rsid w:val="561563D4"/>
    <w:rsid w:val="563C7D3B"/>
    <w:rsid w:val="567A4548"/>
    <w:rsid w:val="576F688D"/>
    <w:rsid w:val="5826783E"/>
    <w:rsid w:val="58926505"/>
    <w:rsid w:val="58C6092D"/>
    <w:rsid w:val="58F34817"/>
    <w:rsid w:val="591C6583"/>
    <w:rsid w:val="594D1214"/>
    <w:rsid w:val="59AB3574"/>
    <w:rsid w:val="5BDA755D"/>
    <w:rsid w:val="5DDC6E97"/>
    <w:rsid w:val="607225C9"/>
    <w:rsid w:val="608B6872"/>
    <w:rsid w:val="61FA2450"/>
    <w:rsid w:val="61FD4573"/>
    <w:rsid w:val="624F31B6"/>
    <w:rsid w:val="626F460D"/>
    <w:rsid w:val="62737F03"/>
    <w:rsid w:val="62BD7680"/>
    <w:rsid w:val="63B80222"/>
    <w:rsid w:val="64BB3B0A"/>
    <w:rsid w:val="65173864"/>
    <w:rsid w:val="67074C35"/>
    <w:rsid w:val="67B86FD5"/>
    <w:rsid w:val="682F4B4F"/>
    <w:rsid w:val="68CC736B"/>
    <w:rsid w:val="69A05A18"/>
    <w:rsid w:val="6AB4227F"/>
    <w:rsid w:val="6B3B6611"/>
    <w:rsid w:val="6B5251F4"/>
    <w:rsid w:val="6B6C7258"/>
    <w:rsid w:val="6B877D94"/>
    <w:rsid w:val="6BA7011A"/>
    <w:rsid w:val="6DFB560B"/>
    <w:rsid w:val="6F17421F"/>
    <w:rsid w:val="6F7B3153"/>
    <w:rsid w:val="6F975B11"/>
    <w:rsid w:val="71E561F0"/>
    <w:rsid w:val="73587C07"/>
    <w:rsid w:val="737F1A45"/>
    <w:rsid w:val="73974732"/>
    <w:rsid w:val="74A64C8E"/>
    <w:rsid w:val="75EA64FF"/>
    <w:rsid w:val="76E353C5"/>
    <w:rsid w:val="77C15694"/>
    <w:rsid w:val="78323E75"/>
    <w:rsid w:val="783802C6"/>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00151-6102-4A0A-8D43-7E31EFA6F57B}">
  <ds:schemaRefs/>
</ds:datastoreItem>
</file>

<file path=docProps/app.xml><?xml version="1.0" encoding="utf-8"?>
<Properties xmlns="http://schemas.openxmlformats.org/officeDocument/2006/extended-properties" xmlns:vt="http://schemas.openxmlformats.org/officeDocument/2006/docPropsVTypes">
  <Template>Normal</Template>
  <Pages>4</Pages>
  <Words>759</Words>
  <Characters>928</Characters>
  <Lines>7</Lines>
  <Paragraphs>2</Paragraphs>
  <TotalTime>0</TotalTime>
  <ScaleCrop>false</ScaleCrop>
  <LinksUpToDate>false</LinksUpToDate>
  <CharactersWithSpaces>966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2024-02-22T08:45:33Z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0F6FEF1FC8A945468732CB279B7298EB_12</vt:lpwstr>
  </property>
</Properties>
</file>